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63A75" w14:textId="77777777" w:rsidR="00C66E6F" w:rsidRDefault="00C66E6F" w:rsidP="000D1985">
      <w:pPr>
        <w:pStyle w:val="Encabezado"/>
        <w:jc w:val="center"/>
        <w:rPr>
          <w:b/>
        </w:rPr>
      </w:pPr>
      <w:r>
        <w:rPr>
          <w:b/>
        </w:rPr>
        <w:t>-</w:t>
      </w:r>
    </w:p>
    <w:p w14:paraId="5CFEAA85" w14:textId="040D527B"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F169BF">
        <w:rPr>
          <w:b/>
        </w:rPr>
        <w:fldChar w:fldCharType="begin"/>
      </w:r>
      <w:r w:rsidR="00F169BF">
        <w:rPr>
          <w:b/>
        </w:rPr>
        <w:instrText xml:space="preserve"> INCLUDEPICTURE  "http://entrecomillas.com.co/wp-content/uploads/2014/09/logo_20congreso_1.png" \* MERGEFORMATINET </w:instrText>
      </w:r>
      <w:r w:rsidR="00F169BF">
        <w:rPr>
          <w:b/>
        </w:rPr>
        <w:fldChar w:fldCharType="separate"/>
      </w:r>
      <w:r w:rsidR="00A93F02">
        <w:rPr>
          <w:b/>
        </w:rPr>
        <w:fldChar w:fldCharType="begin"/>
      </w:r>
      <w:r w:rsidR="00A93F02">
        <w:rPr>
          <w:b/>
        </w:rPr>
        <w:instrText xml:space="preserve"> INCLUDEPICTURE  "http://entrecomillas.com.co/wp-content/uploads/2014/09/logo_20congreso_1.png" \* MERGEFORMATINET </w:instrText>
      </w:r>
      <w:r w:rsidR="00A93F02">
        <w:rPr>
          <w:b/>
        </w:rPr>
        <w:fldChar w:fldCharType="separate"/>
      </w:r>
      <w:r w:rsidR="00B40728">
        <w:rPr>
          <w:b/>
        </w:rPr>
        <w:fldChar w:fldCharType="begin"/>
      </w:r>
      <w:r w:rsidR="00B40728">
        <w:rPr>
          <w:b/>
        </w:rPr>
        <w:instrText xml:space="preserve"> INCLUDEPICTURE  "http://entrecomillas.com.co/wp-content/uploads/2014/09/logo_20congreso_1.png" \* MERGEFORMATINET </w:instrText>
      </w:r>
      <w:r w:rsidR="00B40728">
        <w:rPr>
          <w:b/>
        </w:rPr>
        <w:fldChar w:fldCharType="separate"/>
      </w:r>
      <w:r w:rsidR="006F054D">
        <w:rPr>
          <w:b/>
        </w:rPr>
        <w:fldChar w:fldCharType="begin"/>
      </w:r>
      <w:r w:rsidR="006F054D">
        <w:rPr>
          <w:b/>
        </w:rPr>
        <w:instrText xml:space="preserve"> INCLUDEPICTURE  "http://entrecomillas.com.co/wp-content/uploads/2014/09/logo_20congreso_1.png" \* MERGEFORMATINET </w:instrText>
      </w:r>
      <w:r w:rsidR="006F054D">
        <w:rPr>
          <w:b/>
        </w:rPr>
        <w:fldChar w:fldCharType="separate"/>
      </w:r>
      <w:r w:rsidR="00A97FCA">
        <w:rPr>
          <w:b/>
        </w:rPr>
        <w:fldChar w:fldCharType="begin"/>
      </w:r>
      <w:r w:rsidR="00A97FCA">
        <w:rPr>
          <w:b/>
        </w:rPr>
        <w:instrText xml:space="preserve"> INCLUDEPICTURE  "http://entrecomillas.com.co/wp-content/uploads/2014/09/logo_20congreso_1.png" \* MERGEFORMATINET </w:instrText>
      </w:r>
      <w:r w:rsidR="00A97FCA">
        <w:rPr>
          <w:b/>
        </w:rPr>
        <w:fldChar w:fldCharType="separate"/>
      </w:r>
      <w:r w:rsidR="00443AB1">
        <w:rPr>
          <w:b/>
        </w:rPr>
        <w:fldChar w:fldCharType="begin"/>
      </w:r>
      <w:r w:rsidR="00443AB1">
        <w:rPr>
          <w:b/>
        </w:rPr>
        <w:instrText xml:space="preserve"> INCLUDEPICTURE  "http://entrecomillas.com.co/wp-content/uploads/2014/09/logo_20congreso_1.png" \* MERGEFORMATINET </w:instrText>
      </w:r>
      <w:r w:rsidR="00443AB1">
        <w:rPr>
          <w:b/>
        </w:rPr>
        <w:fldChar w:fldCharType="separate"/>
      </w:r>
      <w:r w:rsidR="00AE4263">
        <w:rPr>
          <w:b/>
        </w:rPr>
        <w:fldChar w:fldCharType="begin"/>
      </w:r>
      <w:r w:rsidR="00AE4263">
        <w:rPr>
          <w:b/>
        </w:rPr>
        <w:instrText xml:space="preserve"> </w:instrText>
      </w:r>
      <w:r w:rsidR="00AE4263">
        <w:rPr>
          <w:b/>
        </w:rPr>
        <w:instrText>INCLUDEPICTURE  "http://entrecomillas.com.co/wp-content/uploads/2014/09/logo_20congreso_1.png" \* MERGE</w:instrText>
      </w:r>
      <w:r w:rsidR="00AE4263">
        <w:rPr>
          <w:b/>
        </w:rPr>
        <w:instrText>FORMATINET</w:instrText>
      </w:r>
      <w:r w:rsidR="00AE4263">
        <w:rPr>
          <w:b/>
        </w:rPr>
        <w:instrText xml:space="preserve"> </w:instrText>
      </w:r>
      <w:r w:rsidR="00AE4263">
        <w:rPr>
          <w:b/>
        </w:rPr>
        <w:fldChar w:fldCharType="separate"/>
      </w:r>
      <w:r w:rsidR="00AE4263">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AE4263">
        <w:rPr>
          <w:b/>
        </w:rPr>
        <w:fldChar w:fldCharType="end"/>
      </w:r>
      <w:r w:rsidR="00443AB1">
        <w:rPr>
          <w:b/>
        </w:rPr>
        <w:fldChar w:fldCharType="end"/>
      </w:r>
      <w:r w:rsidR="00A97FCA">
        <w:rPr>
          <w:b/>
        </w:rPr>
        <w:fldChar w:fldCharType="end"/>
      </w:r>
      <w:r w:rsidR="006F054D">
        <w:rPr>
          <w:b/>
        </w:rPr>
        <w:fldChar w:fldCharType="end"/>
      </w:r>
      <w:r w:rsidR="00B40728">
        <w:rPr>
          <w:b/>
        </w:rPr>
        <w:fldChar w:fldCharType="end"/>
      </w:r>
      <w:r w:rsidR="00A93F02">
        <w:rPr>
          <w:b/>
        </w:rPr>
        <w:fldChar w:fldCharType="end"/>
      </w:r>
      <w:r w:rsidR="00F169BF">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Pr="008B3C4C" w:rsidRDefault="00163C52" w:rsidP="00163C52">
      <w:pPr>
        <w:spacing w:line="276" w:lineRule="auto"/>
        <w:jc w:val="center"/>
        <w:rPr>
          <w:rFonts w:ascii="Garamond" w:hAnsi="Garamond"/>
          <w:b/>
          <w:color w:val="000000"/>
          <w:sz w:val="28"/>
          <w:szCs w:val="28"/>
        </w:rPr>
      </w:pPr>
    </w:p>
    <w:p w14:paraId="2A92E98C" w14:textId="584C3014" w:rsidR="0013701A" w:rsidRPr="008B3C4C" w:rsidRDefault="0013701A" w:rsidP="0013701A">
      <w:pPr>
        <w:spacing w:line="276" w:lineRule="auto"/>
        <w:jc w:val="center"/>
        <w:rPr>
          <w:rFonts w:ascii="Garamond" w:hAnsi="Garamond" w:cs="Arial"/>
          <w:b/>
          <w:bCs/>
          <w:sz w:val="28"/>
          <w:szCs w:val="28"/>
        </w:rPr>
      </w:pPr>
      <w:r w:rsidRPr="008B3C4C">
        <w:rPr>
          <w:rFonts w:ascii="Garamond" w:hAnsi="Garamond" w:cs="Arial"/>
          <w:b/>
          <w:color w:val="000000"/>
          <w:sz w:val="28"/>
          <w:szCs w:val="28"/>
        </w:rPr>
        <w:t>TEXTO APROBADO EN LA COMISIÓN PRIMERA DE LA HONORABLE CÁMARA DE REPRESENTANTES EN PRIMER DEBATE AL</w:t>
      </w:r>
      <w:r w:rsidRPr="008B3C4C">
        <w:rPr>
          <w:rFonts w:ascii="Garamond" w:eastAsia="Bookman Old Style" w:hAnsi="Garamond" w:cs="Bookman Old Style"/>
          <w:b/>
          <w:color w:val="000000"/>
          <w:sz w:val="28"/>
          <w:szCs w:val="28"/>
        </w:rPr>
        <w:t xml:space="preserve"> PROYECTO DE LEY No. </w:t>
      </w:r>
      <w:r w:rsidRPr="008B3C4C">
        <w:rPr>
          <w:rFonts w:ascii="Garamond" w:eastAsia="Times New Roman" w:hAnsi="Garamond" w:cs="Times New Roman"/>
          <w:b/>
          <w:bCs/>
          <w:color w:val="000000"/>
          <w:sz w:val="28"/>
          <w:szCs w:val="28"/>
          <w:lang w:eastAsia="es-ES_tradnl"/>
        </w:rPr>
        <w:t>157 DE 2022 CÁMARA</w:t>
      </w:r>
    </w:p>
    <w:p w14:paraId="61167BA5" w14:textId="2D55E1F7" w:rsidR="0013701A" w:rsidRPr="008B3C4C" w:rsidRDefault="0013701A" w:rsidP="0013701A">
      <w:pPr>
        <w:spacing w:before="100" w:beforeAutospacing="1" w:after="120" w:line="276" w:lineRule="auto"/>
        <w:jc w:val="center"/>
        <w:rPr>
          <w:rFonts w:ascii="Garamond" w:eastAsia="Times New Roman" w:hAnsi="Garamond" w:cs="Times New Roman"/>
          <w:b/>
          <w:bCs/>
          <w:color w:val="000000"/>
          <w:sz w:val="28"/>
          <w:szCs w:val="28"/>
          <w:lang w:eastAsia="es-ES_tradnl"/>
        </w:rPr>
      </w:pPr>
      <w:r w:rsidRPr="008B3C4C">
        <w:rPr>
          <w:rFonts w:ascii="Garamond" w:eastAsia="Times New Roman" w:hAnsi="Garamond" w:cs="Times New Roman"/>
          <w:b/>
          <w:color w:val="000000"/>
          <w:sz w:val="28"/>
          <w:szCs w:val="28"/>
          <w:lang w:eastAsia="es-ES_tradnl"/>
        </w:rPr>
        <w:t>“POR MEDIO DEL CUAL SE MODIFICAN LOS ARTÍCULOS 61 Y 155 DE LA LEY 1448 DE 2011, Y SE AMPLÍAN LOS TÉRMINOS PARA DECLARAR ANTE EL MINISTERIO PÚBLICO”</w:t>
      </w:r>
    </w:p>
    <w:p w14:paraId="36925656" w14:textId="44C48E09" w:rsidR="0013701A" w:rsidRPr="008B3C4C" w:rsidRDefault="0013701A" w:rsidP="0013701A">
      <w:pPr>
        <w:spacing w:before="100" w:beforeAutospacing="1" w:after="120" w:line="276" w:lineRule="auto"/>
        <w:jc w:val="center"/>
        <w:rPr>
          <w:rFonts w:ascii="Garamond" w:eastAsia="Times New Roman" w:hAnsi="Garamond" w:cs="Times New Roman"/>
          <w:b/>
          <w:bCs/>
          <w:color w:val="000000"/>
          <w:sz w:val="28"/>
          <w:szCs w:val="28"/>
          <w:lang w:eastAsia="es-ES_tradnl"/>
        </w:rPr>
      </w:pPr>
      <w:r w:rsidRPr="008B3C4C">
        <w:rPr>
          <w:rFonts w:ascii="Garamond" w:eastAsia="Times New Roman" w:hAnsi="Garamond" w:cs="Times New Roman"/>
          <w:b/>
          <w:bCs/>
          <w:color w:val="000000"/>
          <w:sz w:val="28"/>
          <w:szCs w:val="28"/>
          <w:lang w:eastAsia="es-ES_tradnl"/>
        </w:rPr>
        <w:t>EL CONGRESO DE COLOMBIA</w:t>
      </w:r>
    </w:p>
    <w:p w14:paraId="27070293" w14:textId="1A1CF004" w:rsidR="0013701A" w:rsidRDefault="0013701A" w:rsidP="0013701A">
      <w:pPr>
        <w:spacing w:before="100" w:beforeAutospacing="1" w:after="120" w:line="276" w:lineRule="auto"/>
        <w:jc w:val="center"/>
        <w:rPr>
          <w:rFonts w:ascii="Garamond" w:eastAsia="Times New Roman" w:hAnsi="Garamond" w:cs="Times New Roman"/>
          <w:b/>
          <w:bCs/>
          <w:color w:val="000000"/>
          <w:sz w:val="28"/>
          <w:szCs w:val="28"/>
          <w:lang w:eastAsia="es-ES_tradnl"/>
        </w:rPr>
      </w:pPr>
      <w:r w:rsidRPr="008B3C4C">
        <w:rPr>
          <w:rFonts w:ascii="Garamond" w:eastAsia="Times New Roman" w:hAnsi="Garamond" w:cs="Times New Roman"/>
          <w:b/>
          <w:bCs/>
          <w:color w:val="000000"/>
          <w:sz w:val="28"/>
          <w:szCs w:val="28"/>
          <w:lang w:eastAsia="es-ES_tradnl"/>
        </w:rPr>
        <w:t>DECRETA:</w:t>
      </w:r>
    </w:p>
    <w:p w14:paraId="4E00FFEF" w14:textId="77777777" w:rsidR="00FB65EF" w:rsidRPr="008B3C4C" w:rsidRDefault="00FB65EF" w:rsidP="0013701A">
      <w:pPr>
        <w:spacing w:before="100" w:beforeAutospacing="1" w:after="120" w:line="276" w:lineRule="auto"/>
        <w:jc w:val="center"/>
        <w:rPr>
          <w:rFonts w:ascii="Garamond" w:eastAsia="Times New Roman" w:hAnsi="Garamond" w:cs="Times New Roman"/>
          <w:b/>
          <w:bCs/>
          <w:color w:val="000000"/>
          <w:sz w:val="28"/>
          <w:szCs w:val="28"/>
          <w:lang w:eastAsia="es-ES_tradnl"/>
        </w:rPr>
      </w:pPr>
    </w:p>
    <w:p w14:paraId="52FA995E" w14:textId="7AF51AF1" w:rsidR="0013701A" w:rsidRPr="008B3C4C" w:rsidRDefault="0013701A" w:rsidP="0013701A">
      <w:pPr>
        <w:spacing w:before="100" w:beforeAutospacing="1" w:after="120" w:line="276" w:lineRule="auto"/>
        <w:jc w:val="both"/>
        <w:rPr>
          <w:rFonts w:ascii="Garamond" w:eastAsia="Times New Roman" w:hAnsi="Garamond" w:cs="Times New Roman"/>
          <w:color w:val="000000"/>
          <w:sz w:val="28"/>
          <w:szCs w:val="28"/>
          <w:lang w:eastAsia="es-ES_tradnl"/>
        </w:rPr>
      </w:pPr>
      <w:r w:rsidRPr="008B3C4C">
        <w:rPr>
          <w:rFonts w:ascii="Garamond" w:eastAsia="Times New Roman" w:hAnsi="Garamond" w:cs="Times New Roman"/>
          <w:b/>
          <w:bCs/>
          <w:color w:val="000000"/>
          <w:sz w:val="28"/>
          <w:szCs w:val="28"/>
          <w:lang w:eastAsia="es-ES_tradnl"/>
        </w:rPr>
        <w:t>Artículo 1º. Objeto.</w:t>
      </w:r>
      <w:r w:rsidRPr="008B3C4C">
        <w:rPr>
          <w:rFonts w:ascii="Garamond" w:eastAsia="Times New Roman" w:hAnsi="Garamond" w:cs="Times New Roman"/>
          <w:color w:val="000000"/>
          <w:sz w:val="28"/>
          <w:szCs w:val="28"/>
          <w:lang w:eastAsia="es-ES_tradnl"/>
        </w:rPr>
        <w:t xml:space="preserve"> La presente Ley tiene por objeto ampliar los términos para que aquellas personas que se consideren víctimas del conflicto armado, dentro de lo establecido por </w:t>
      </w:r>
      <w:r w:rsidR="004349DA" w:rsidRPr="008B3C4C">
        <w:rPr>
          <w:rFonts w:ascii="Garamond" w:eastAsia="Times New Roman" w:hAnsi="Garamond" w:cs="Times New Roman"/>
          <w:color w:val="000000"/>
          <w:sz w:val="28"/>
          <w:szCs w:val="28"/>
          <w:lang w:eastAsia="es-ES_tradnl"/>
        </w:rPr>
        <w:t xml:space="preserve">el artículo 3 de </w:t>
      </w:r>
      <w:r w:rsidRPr="008B3C4C">
        <w:rPr>
          <w:rFonts w:ascii="Garamond" w:eastAsia="Times New Roman" w:hAnsi="Garamond" w:cs="Times New Roman"/>
          <w:color w:val="000000"/>
          <w:sz w:val="28"/>
          <w:szCs w:val="28"/>
          <w:lang w:eastAsia="es-ES_tradnl"/>
        </w:rPr>
        <w:t xml:space="preserve">la Ley 1448 de 2011 y que hayan sufrido hechos </w:t>
      </w:r>
      <w:proofErr w:type="spellStart"/>
      <w:r w:rsidRPr="008B3C4C">
        <w:rPr>
          <w:rFonts w:ascii="Garamond" w:eastAsia="Times New Roman" w:hAnsi="Garamond" w:cs="Times New Roman"/>
          <w:color w:val="000000"/>
          <w:sz w:val="28"/>
          <w:szCs w:val="28"/>
          <w:lang w:eastAsia="es-ES_tradnl"/>
        </w:rPr>
        <w:t>victimizantes</w:t>
      </w:r>
      <w:proofErr w:type="spellEnd"/>
      <w:r w:rsidRPr="008B3C4C">
        <w:rPr>
          <w:rFonts w:ascii="Garamond" w:eastAsia="Times New Roman" w:hAnsi="Garamond" w:cs="Times New Roman"/>
          <w:color w:val="000000"/>
          <w:sz w:val="28"/>
          <w:szCs w:val="28"/>
          <w:lang w:eastAsia="es-ES_tradnl"/>
        </w:rPr>
        <w:t xml:space="preserve"> con anterioridad y/o posterioridad a su promulgación</w:t>
      </w:r>
      <w:r w:rsidR="004349DA" w:rsidRPr="008B3C4C">
        <w:rPr>
          <w:rFonts w:ascii="Garamond" w:eastAsia="Times New Roman" w:hAnsi="Garamond" w:cs="Times New Roman"/>
          <w:color w:val="000000"/>
          <w:sz w:val="28"/>
          <w:szCs w:val="28"/>
          <w:lang w:eastAsia="es-ES_tradnl"/>
        </w:rPr>
        <w:t>,</w:t>
      </w:r>
      <w:r w:rsidRPr="008B3C4C">
        <w:rPr>
          <w:rFonts w:ascii="Garamond" w:eastAsia="Times New Roman" w:hAnsi="Garamond" w:cs="Times New Roman"/>
          <w:color w:val="000000"/>
          <w:sz w:val="28"/>
          <w:szCs w:val="28"/>
          <w:lang w:eastAsia="es-ES_tradnl"/>
        </w:rPr>
        <w:t xml:space="preserve"> puedan rendir su declaración ante el Ministerio Público, en concordancia con las modificaciones propuestas por la Ley 2078 de 2021.</w:t>
      </w:r>
    </w:p>
    <w:p w14:paraId="72DA8E6D" w14:textId="77777777" w:rsidR="0013701A" w:rsidRPr="008B3C4C" w:rsidRDefault="0013701A" w:rsidP="0013701A">
      <w:pPr>
        <w:spacing w:before="100" w:beforeAutospacing="1" w:after="120" w:line="276" w:lineRule="auto"/>
        <w:jc w:val="both"/>
        <w:rPr>
          <w:rFonts w:ascii="Garamond" w:eastAsia="Times New Roman" w:hAnsi="Garamond" w:cs="Times New Roman"/>
          <w:b/>
          <w:bCs/>
          <w:color w:val="000000"/>
          <w:sz w:val="28"/>
          <w:szCs w:val="28"/>
          <w:lang w:eastAsia="es-ES_tradnl"/>
        </w:rPr>
      </w:pPr>
      <w:r w:rsidRPr="008B3C4C">
        <w:rPr>
          <w:rFonts w:ascii="Garamond" w:eastAsia="Times New Roman" w:hAnsi="Garamond" w:cs="Times New Roman"/>
          <w:b/>
          <w:bCs/>
          <w:color w:val="000000"/>
          <w:sz w:val="28"/>
          <w:szCs w:val="28"/>
          <w:lang w:eastAsia="es-ES_tradnl"/>
        </w:rPr>
        <w:t xml:space="preserve">Artículo 2º. </w:t>
      </w:r>
      <w:r w:rsidRPr="008B3C4C">
        <w:rPr>
          <w:rFonts w:ascii="Garamond" w:eastAsia="Times New Roman" w:hAnsi="Garamond" w:cs="Times New Roman"/>
          <w:color w:val="000000"/>
          <w:sz w:val="28"/>
          <w:szCs w:val="28"/>
          <w:lang w:eastAsia="es-ES_tradnl"/>
        </w:rPr>
        <w:t>Modifíquese el artículo 61 de la Ley 1448 de 2011, el cual quedará así:</w:t>
      </w:r>
    </w:p>
    <w:p w14:paraId="4596DF49" w14:textId="77777777" w:rsidR="0013701A" w:rsidRPr="008B3C4C" w:rsidRDefault="0013701A" w:rsidP="0013701A">
      <w:pPr>
        <w:spacing w:before="100" w:beforeAutospacing="1" w:after="120" w:line="276" w:lineRule="auto"/>
        <w:ind w:left="709"/>
        <w:jc w:val="both"/>
        <w:rPr>
          <w:rFonts w:ascii="Garamond" w:eastAsia="Times New Roman" w:hAnsi="Garamond" w:cs="Arial"/>
          <w:color w:val="000000"/>
          <w:sz w:val="28"/>
          <w:szCs w:val="28"/>
          <w:lang w:eastAsia="es-ES_tradnl"/>
        </w:rPr>
      </w:pPr>
      <w:r w:rsidRPr="008B3C4C">
        <w:rPr>
          <w:rFonts w:ascii="Garamond" w:eastAsia="Times New Roman" w:hAnsi="Garamond" w:cs="Arial"/>
          <w:b/>
          <w:color w:val="000000"/>
          <w:sz w:val="28"/>
          <w:szCs w:val="28"/>
          <w:lang w:eastAsia="es-ES_tradnl"/>
        </w:rPr>
        <w:t>ARTÍCULO 61. LA DECLARACIÓN SOBRE LOS HECHOS QUE CONFIGURAN LA SITUACIÓN DEL DESPLAZAMIENTO.</w:t>
      </w:r>
      <w:r w:rsidRPr="008B3C4C">
        <w:rPr>
          <w:rFonts w:ascii="Garamond" w:eastAsia="Times New Roman" w:hAnsi="Garamond" w:cs="Arial"/>
          <w:color w:val="000000"/>
          <w:sz w:val="28"/>
          <w:szCs w:val="28"/>
          <w:lang w:eastAsia="es-ES_tradnl"/>
        </w:rPr>
        <w:t xml:space="preserve"> La persona víctima de desplazamiento forzado deberá rendir declaración ante cualquiera de las instituciones que integran el Ministerio Público, dentro de los tres (3) años siguientes a la ocurrencia del hecho que dio origen al desplazamiento, siempre y cuando estos hechos hubiesen ocurrido a partir del 1o de enero de 1985, y no se encuentre registrada en el Registro Único de Víctimas. </w:t>
      </w:r>
    </w:p>
    <w:p w14:paraId="4800DEBE" w14:textId="77777777" w:rsidR="0013701A" w:rsidRPr="008B3C4C" w:rsidRDefault="0013701A" w:rsidP="0013701A">
      <w:pPr>
        <w:spacing w:before="100" w:beforeAutospacing="1" w:after="120" w:line="276" w:lineRule="auto"/>
        <w:ind w:left="709"/>
        <w:jc w:val="both"/>
        <w:rPr>
          <w:rFonts w:ascii="Garamond" w:eastAsia="Times New Roman" w:hAnsi="Garamond" w:cs="Arial"/>
          <w:color w:val="000000"/>
          <w:sz w:val="28"/>
          <w:szCs w:val="28"/>
          <w:lang w:eastAsia="es-ES_tradnl"/>
        </w:rPr>
      </w:pPr>
      <w:r w:rsidRPr="008B3C4C">
        <w:rPr>
          <w:rFonts w:ascii="Garamond" w:eastAsia="Times New Roman" w:hAnsi="Garamond" w:cs="Arial"/>
          <w:color w:val="000000"/>
          <w:sz w:val="28"/>
          <w:szCs w:val="28"/>
          <w:lang w:eastAsia="es-ES_tradnl"/>
        </w:rPr>
        <w:lastRenderedPageBreak/>
        <w:t>La declaración hará parte del Registro Único de Víctimas, de acuerdo con lo estipulado en el artículo </w:t>
      </w:r>
      <w:hyperlink r:id="rId10" w:anchor="155" w:history="1">
        <w:r w:rsidRPr="008B3C4C">
          <w:rPr>
            <w:rFonts w:ascii="Garamond" w:eastAsia="Times New Roman" w:hAnsi="Garamond" w:cs="Arial"/>
            <w:color w:val="000000"/>
            <w:sz w:val="28"/>
            <w:szCs w:val="28"/>
            <w:lang w:eastAsia="es-ES_tradnl"/>
          </w:rPr>
          <w:t>155</w:t>
        </w:r>
      </w:hyperlink>
      <w:r w:rsidRPr="008B3C4C">
        <w:rPr>
          <w:rFonts w:ascii="Garamond" w:eastAsia="Times New Roman" w:hAnsi="Garamond" w:cs="Arial"/>
          <w:color w:val="000000"/>
          <w:sz w:val="28"/>
          <w:szCs w:val="28"/>
          <w:lang w:eastAsia="es-ES_tradnl"/>
        </w:rPr>
        <w:t> de la presente Ley. La valoración que realice el funcionario encargado de recibir la solicitud de registro debe respetar los principios constitucionales de dignidad, buena fe, confianza legítima y prevalencia del derecho sustancial.</w:t>
      </w:r>
    </w:p>
    <w:p w14:paraId="646DF617" w14:textId="77777777" w:rsidR="0013701A" w:rsidRPr="008B3C4C" w:rsidRDefault="0013701A" w:rsidP="0013701A">
      <w:pPr>
        <w:spacing w:before="100" w:beforeAutospacing="1" w:after="120" w:line="276" w:lineRule="auto"/>
        <w:ind w:left="709"/>
        <w:jc w:val="both"/>
        <w:rPr>
          <w:rFonts w:ascii="Garamond" w:eastAsia="Times New Roman" w:hAnsi="Garamond" w:cs="Arial"/>
          <w:color w:val="000000"/>
          <w:sz w:val="28"/>
          <w:szCs w:val="28"/>
          <w:lang w:eastAsia="es-ES_tradnl"/>
        </w:rPr>
      </w:pPr>
      <w:r w:rsidRPr="008B3C4C">
        <w:rPr>
          <w:rFonts w:ascii="Garamond" w:eastAsia="Times New Roman" w:hAnsi="Garamond" w:cs="Arial"/>
          <w:b/>
          <w:color w:val="000000"/>
          <w:sz w:val="28"/>
          <w:szCs w:val="28"/>
          <w:lang w:eastAsia="es-ES_tradnl"/>
        </w:rPr>
        <w:t>PARÁGRAFO 1o.</w:t>
      </w:r>
      <w:r w:rsidRPr="008B3C4C">
        <w:rPr>
          <w:rFonts w:ascii="Garamond" w:eastAsia="Times New Roman" w:hAnsi="Garamond" w:cs="Arial"/>
          <w:color w:val="000000"/>
          <w:sz w:val="28"/>
          <w:szCs w:val="28"/>
          <w:lang w:eastAsia="es-ES_tradnl"/>
        </w:rPr>
        <w:t xml:space="preserve"> Se establece un plazo de tres (3) años para la reducción del </w:t>
      </w:r>
      <w:proofErr w:type="spellStart"/>
      <w:r w:rsidRPr="008B3C4C">
        <w:rPr>
          <w:rFonts w:ascii="Garamond" w:eastAsia="Times New Roman" w:hAnsi="Garamond" w:cs="Arial"/>
          <w:color w:val="000000"/>
          <w:sz w:val="28"/>
          <w:szCs w:val="28"/>
          <w:lang w:eastAsia="es-ES_tradnl"/>
        </w:rPr>
        <w:t>subregistro</w:t>
      </w:r>
      <w:proofErr w:type="spellEnd"/>
      <w:r w:rsidRPr="008B3C4C">
        <w:rPr>
          <w:rFonts w:ascii="Garamond" w:eastAsia="Times New Roman" w:hAnsi="Garamond" w:cs="Arial"/>
          <w:color w:val="000000"/>
          <w:sz w:val="28"/>
          <w:szCs w:val="28"/>
          <w:lang w:eastAsia="es-ES_tradnl"/>
        </w:rPr>
        <w:t>, periodo en el cual las víctimas del desplazamiento de años anteriores podrán declarar los hechos con el fin de que se decida su inclusión o no en el Registro.</w:t>
      </w:r>
    </w:p>
    <w:p w14:paraId="6986ACBD" w14:textId="77777777" w:rsidR="0013701A" w:rsidRPr="008B3C4C" w:rsidRDefault="0013701A" w:rsidP="0013701A">
      <w:pPr>
        <w:spacing w:before="100" w:beforeAutospacing="1" w:after="120" w:line="276" w:lineRule="auto"/>
        <w:ind w:left="709"/>
        <w:jc w:val="both"/>
        <w:rPr>
          <w:rFonts w:ascii="Garamond" w:eastAsia="Times New Roman" w:hAnsi="Garamond" w:cs="Arial"/>
          <w:color w:val="000000"/>
          <w:sz w:val="28"/>
          <w:szCs w:val="28"/>
          <w:lang w:eastAsia="es-ES_tradnl"/>
        </w:rPr>
      </w:pPr>
      <w:r w:rsidRPr="008B3C4C">
        <w:rPr>
          <w:rFonts w:ascii="Garamond" w:eastAsia="Times New Roman" w:hAnsi="Garamond" w:cs="Arial"/>
          <w:color w:val="000000"/>
          <w:sz w:val="28"/>
          <w:szCs w:val="28"/>
          <w:lang w:eastAsia="es-ES_tradnl"/>
        </w:rPr>
        <w:t>Para este efecto, el Gobierno Nacional adelantará una campaña de divulgación a nivel nacional a fin de que las víctimas de desplazamiento forzado que no han declarado se acerquen al Ministerio Público para rendir su declaración.</w:t>
      </w:r>
    </w:p>
    <w:p w14:paraId="6E9DCD70" w14:textId="77777777" w:rsidR="0013701A" w:rsidRPr="008B3C4C" w:rsidRDefault="0013701A" w:rsidP="0013701A">
      <w:pPr>
        <w:spacing w:before="100" w:beforeAutospacing="1" w:after="120" w:line="276" w:lineRule="auto"/>
        <w:ind w:left="709"/>
        <w:jc w:val="both"/>
        <w:rPr>
          <w:rFonts w:ascii="Garamond" w:eastAsia="Times New Roman" w:hAnsi="Garamond" w:cs="Arial"/>
          <w:color w:val="000000"/>
          <w:sz w:val="28"/>
          <w:szCs w:val="28"/>
          <w:lang w:eastAsia="es-ES_tradnl"/>
        </w:rPr>
      </w:pPr>
      <w:r w:rsidRPr="008B3C4C">
        <w:rPr>
          <w:rFonts w:ascii="Garamond" w:eastAsia="Times New Roman" w:hAnsi="Garamond" w:cs="Arial"/>
          <w:b/>
          <w:color w:val="000000"/>
          <w:sz w:val="28"/>
          <w:szCs w:val="28"/>
          <w:lang w:eastAsia="es-ES_tradnl"/>
        </w:rPr>
        <w:t>PARÁGRAFO 2o.</w:t>
      </w:r>
      <w:r w:rsidRPr="008B3C4C">
        <w:rPr>
          <w:rFonts w:ascii="Garamond" w:eastAsia="Times New Roman" w:hAnsi="Garamond" w:cs="Arial"/>
          <w:color w:val="000000"/>
          <w:sz w:val="28"/>
          <w:szCs w:val="28"/>
          <w:lang w:eastAsia="es-ES_tradnl"/>
        </w:rPr>
        <w:t xml:space="preserve"> En las declaraciones presentadas tres </w:t>
      </w:r>
      <w:r w:rsidRPr="008B3C4C">
        <w:rPr>
          <w:rFonts w:ascii="Garamond" w:eastAsia="Times New Roman" w:hAnsi="Garamond" w:cs="Arial"/>
          <w:bCs/>
          <w:color w:val="000000"/>
          <w:sz w:val="28"/>
          <w:szCs w:val="28"/>
          <w:lang w:eastAsia="es-ES_tradnl"/>
        </w:rPr>
        <w:t>(3)</w:t>
      </w:r>
      <w:r w:rsidRPr="008B3C4C">
        <w:rPr>
          <w:rFonts w:ascii="Garamond" w:eastAsia="Times New Roman" w:hAnsi="Garamond" w:cs="Arial"/>
          <w:color w:val="000000"/>
          <w:sz w:val="28"/>
          <w:szCs w:val="28"/>
          <w:lang w:eastAsia="es-ES_tradnl"/>
        </w:rPr>
        <w:t xml:space="preserve"> años después de la ocurrencia del hecho que dio lugar al desplazamiento forzado, el funcionario del Ministerio Público deberá indagar sobre las razones por las cuales no se llevó a cabo con anterioridad dicha declaración, con el fin de determinar si existen barreras que dificulten o impidan la accesibilidad de las víctimas a la protección del Estado.</w:t>
      </w:r>
    </w:p>
    <w:p w14:paraId="36DF286A" w14:textId="77777777" w:rsidR="0013701A" w:rsidRPr="008B3C4C" w:rsidRDefault="0013701A" w:rsidP="0013701A">
      <w:pPr>
        <w:spacing w:before="100" w:beforeAutospacing="1" w:after="120" w:line="276" w:lineRule="auto"/>
        <w:ind w:left="709"/>
        <w:jc w:val="both"/>
        <w:rPr>
          <w:rFonts w:ascii="Garamond" w:eastAsia="Times New Roman" w:hAnsi="Garamond" w:cs="Arial"/>
          <w:color w:val="000000"/>
          <w:sz w:val="28"/>
          <w:szCs w:val="28"/>
          <w:lang w:eastAsia="es-ES_tradnl"/>
        </w:rPr>
      </w:pPr>
      <w:r w:rsidRPr="008B3C4C">
        <w:rPr>
          <w:rFonts w:ascii="Garamond" w:eastAsia="Times New Roman" w:hAnsi="Garamond" w:cs="Arial"/>
          <w:color w:val="000000"/>
          <w:sz w:val="28"/>
          <w:szCs w:val="28"/>
          <w:lang w:eastAsia="es-ES_tradnl"/>
        </w:rPr>
        <w:t>En cualquier caso, se deberá preguntar sobre las circunstancias de tiempo, modo y lugar que generaron su desplazamiento para contar con información precisa que permita decidir sobre la inclusión o no del declarante al Registro.</w:t>
      </w:r>
    </w:p>
    <w:p w14:paraId="2A1E458C" w14:textId="77777777" w:rsidR="0013701A" w:rsidRPr="008B3C4C" w:rsidRDefault="0013701A" w:rsidP="0013701A">
      <w:pPr>
        <w:spacing w:before="100" w:beforeAutospacing="1" w:after="120" w:line="276" w:lineRule="auto"/>
        <w:ind w:left="709"/>
        <w:jc w:val="both"/>
        <w:rPr>
          <w:rFonts w:ascii="Garamond" w:eastAsia="Times New Roman" w:hAnsi="Garamond" w:cs="Arial"/>
          <w:color w:val="000000"/>
          <w:sz w:val="28"/>
          <w:szCs w:val="28"/>
          <w:lang w:eastAsia="es-ES_tradnl"/>
        </w:rPr>
      </w:pPr>
      <w:r w:rsidRPr="008B3C4C">
        <w:rPr>
          <w:rFonts w:ascii="Garamond" w:eastAsia="Times New Roman" w:hAnsi="Garamond" w:cs="Arial"/>
          <w:b/>
          <w:color w:val="000000"/>
          <w:sz w:val="28"/>
          <w:szCs w:val="28"/>
          <w:lang w:eastAsia="es-ES_tradnl"/>
        </w:rPr>
        <w:t>PARÁGRAFO 3o.</w:t>
      </w:r>
      <w:r w:rsidRPr="008B3C4C">
        <w:rPr>
          <w:rFonts w:ascii="Garamond" w:eastAsia="Times New Roman" w:hAnsi="Garamond" w:cs="Arial"/>
          <w:color w:val="000000"/>
          <w:sz w:val="28"/>
          <w:szCs w:val="28"/>
          <w:lang w:eastAsia="es-ES_tradnl"/>
        </w:rPr>
        <w:t> En evento de fuerza mayor que haya impedido a la víctima del desplazamiento forzado rendir la declaración en el término establecido en el presente artículo, se empezará a contar el mismo desde el momento en que cesen las circunstancias motivo de tal impedimento.</w:t>
      </w:r>
    </w:p>
    <w:p w14:paraId="665ED9EF" w14:textId="77777777" w:rsidR="0013701A" w:rsidRPr="008B3C4C" w:rsidRDefault="0013701A" w:rsidP="0013701A">
      <w:pPr>
        <w:spacing w:before="100" w:beforeAutospacing="1" w:after="120" w:line="276" w:lineRule="auto"/>
        <w:ind w:left="709"/>
        <w:jc w:val="both"/>
        <w:rPr>
          <w:rFonts w:ascii="Garamond" w:eastAsia="Times New Roman" w:hAnsi="Garamond" w:cs="Arial"/>
          <w:color w:val="000000"/>
          <w:sz w:val="28"/>
          <w:szCs w:val="28"/>
          <w:lang w:eastAsia="es-ES_tradnl"/>
        </w:rPr>
      </w:pPr>
      <w:r w:rsidRPr="008B3C4C">
        <w:rPr>
          <w:rFonts w:ascii="Garamond" w:eastAsia="Times New Roman" w:hAnsi="Garamond" w:cs="Arial"/>
          <w:color w:val="000000"/>
          <w:sz w:val="28"/>
          <w:szCs w:val="28"/>
          <w:lang w:eastAsia="es-ES_tradnl"/>
        </w:rPr>
        <w:t>La víctima de desplazamiento forzado deberá informar al funcionario del Ministerio Público, quien indagará por dichas circunstancias y enviará la diligencia a la Unidad Administrativa Especial para la Atención y Reparación Integral a las Víctimas para que realice las acciones pertinentes de acuerdo con los eventos aquí mencionados.</w:t>
      </w:r>
    </w:p>
    <w:p w14:paraId="5FDB8A00" w14:textId="223371B3" w:rsidR="0013701A" w:rsidRPr="008B3C4C" w:rsidRDefault="0013701A" w:rsidP="0013701A">
      <w:pPr>
        <w:spacing w:before="100" w:beforeAutospacing="1" w:after="120" w:line="276" w:lineRule="auto"/>
        <w:jc w:val="both"/>
        <w:rPr>
          <w:rFonts w:ascii="Garamond" w:eastAsia="Times New Roman" w:hAnsi="Garamond" w:cs="Arial"/>
          <w:b/>
          <w:color w:val="000000"/>
          <w:sz w:val="28"/>
          <w:szCs w:val="28"/>
          <w:lang w:eastAsia="es-ES_tradnl"/>
        </w:rPr>
      </w:pPr>
      <w:r w:rsidRPr="008B3C4C">
        <w:rPr>
          <w:rFonts w:ascii="Garamond" w:eastAsia="Times New Roman" w:hAnsi="Garamond" w:cs="Arial"/>
          <w:b/>
          <w:color w:val="000000"/>
          <w:sz w:val="28"/>
          <w:szCs w:val="28"/>
          <w:lang w:eastAsia="es-ES_tradnl"/>
        </w:rPr>
        <w:lastRenderedPageBreak/>
        <w:t xml:space="preserve">Artículo 3º. </w:t>
      </w:r>
      <w:r w:rsidR="004349DA" w:rsidRPr="008B3C4C">
        <w:rPr>
          <w:rFonts w:ascii="Garamond" w:eastAsia="Times New Roman" w:hAnsi="Garamond" w:cs="Arial"/>
          <w:bCs/>
          <w:color w:val="000000"/>
          <w:sz w:val="28"/>
          <w:szCs w:val="28"/>
          <w:lang w:eastAsia="es-ES_tradnl"/>
        </w:rPr>
        <w:t xml:space="preserve">Modifíquese </w:t>
      </w:r>
      <w:r w:rsidRPr="008B3C4C">
        <w:rPr>
          <w:rFonts w:ascii="Garamond" w:eastAsia="Times New Roman" w:hAnsi="Garamond" w:cs="Arial"/>
          <w:bCs/>
          <w:color w:val="000000"/>
          <w:sz w:val="28"/>
          <w:szCs w:val="28"/>
          <w:lang w:eastAsia="es-ES_tradnl"/>
        </w:rPr>
        <w:t>e inclúyase un parágrafo transitorio al artículo 155 de la Ley 1448 de 2011, el cual quedará así:</w:t>
      </w:r>
    </w:p>
    <w:p w14:paraId="044A1C96" w14:textId="77777777" w:rsidR="0013701A" w:rsidRPr="008B3C4C" w:rsidRDefault="0013701A" w:rsidP="0013701A">
      <w:pPr>
        <w:spacing w:before="100" w:beforeAutospacing="1" w:after="120" w:line="276" w:lineRule="auto"/>
        <w:ind w:left="709"/>
        <w:jc w:val="both"/>
        <w:rPr>
          <w:rFonts w:ascii="Garamond" w:eastAsia="Times New Roman" w:hAnsi="Garamond" w:cs="Arial"/>
          <w:color w:val="000000"/>
          <w:sz w:val="28"/>
          <w:szCs w:val="28"/>
          <w:lang w:eastAsia="es-ES_tradnl"/>
        </w:rPr>
      </w:pPr>
      <w:r w:rsidRPr="008B3C4C">
        <w:rPr>
          <w:rFonts w:ascii="Garamond" w:eastAsia="Times New Roman" w:hAnsi="Garamond" w:cs="Arial"/>
          <w:b/>
          <w:bCs/>
          <w:color w:val="000000"/>
          <w:sz w:val="28"/>
          <w:szCs w:val="28"/>
          <w:lang w:eastAsia="es-ES_tradnl"/>
        </w:rPr>
        <w:t>ARTÍCULO 155. SOLICITUD DE REGISTRO DE LAS VÍCTIMAS.</w:t>
      </w:r>
      <w:r w:rsidRPr="008B3C4C">
        <w:rPr>
          <w:rFonts w:ascii="Garamond" w:eastAsia="Times New Roman" w:hAnsi="Garamond" w:cs="Arial"/>
          <w:color w:val="000000"/>
          <w:sz w:val="28"/>
          <w:szCs w:val="28"/>
          <w:lang w:eastAsia="es-ES_tradnl"/>
        </w:rPr>
        <w:t> Las víctimas deberán presentar una declaración ante el Ministerio Público en un término de cuatro (4) años contados a partir de la promulgación de la presente ley para quienes hayan sido victimizadas con anterioridad a ese momento, y de tres (3) años contados a partir de la ocurrencia del hecho respecto de quienes lo sean con posterioridad a la vigencia de la ley, conforme a los requisitos que para tal efecto defina el Gobierno Nacional, y a través del instrumento que diseñe la Unidad Administrativa Especial para la Atención y Reparación Integral a las víctimas, el cual será de uso obligatorio por las entidades que conforman el Ministerio Público.</w:t>
      </w:r>
    </w:p>
    <w:p w14:paraId="2A376043" w14:textId="77777777" w:rsidR="0013701A" w:rsidRPr="008B3C4C" w:rsidRDefault="0013701A" w:rsidP="0013701A">
      <w:pPr>
        <w:spacing w:before="100" w:beforeAutospacing="1" w:after="120" w:line="276" w:lineRule="auto"/>
        <w:ind w:left="709"/>
        <w:jc w:val="both"/>
        <w:rPr>
          <w:rFonts w:ascii="Garamond" w:eastAsia="Times New Roman" w:hAnsi="Garamond" w:cs="Arial"/>
          <w:color w:val="000000"/>
          <w:sz w:val="28"/>
          <w:szCs w:val="28"/>
          <w:lang w:eastAsia="es-ES_tradnl"/>
        </w:rPr>
      </w:pPr>
      <w:r w:rsidRPr="008B3C4C">
        <w:rPr>
          <w:rFonts w:ascii="Garamond" w:eastAsia="Times New Roman" w:hAnsi="Garamond" w:cs="Arial"/>
          <w:color w:val="000000"/>
          <w:sz w:val="28"/>
          <w:szCs w:val="28"/>
          <w:lang w:eastAsia="es-ES_tradnl"/>
        </w:rPr>
        <w:t>En el evento de fuerza mayor que haya impedido a la víctima presentar la solicitud de registro en el término establecido en este artículo, se empezará a contar el mismo desde el momento en que cesen las circunstancias que motivaron tal impedimento, para lo cual deberá informar de ello al Ministerio Público quien remitirá tal información a la Unidad Administrativa Especial para la Atención y Reparación Integral a las Víctimas.</w:t>
      </w:r>
    </w:p>
    <w:p w14:paraId="2974C5E7" w14:textId="77777777" w:rsidR="0013701A" w:rsidRPr="008B3C4C" w:rsidRDefault="0013701A" w:rsidP="0013701A">
      <w:pPr>
        <w:spacing w:before="100" w:beforeAutospacing="1" w:after="120" w:line="276" w:lineRule="auto"/>
        <w:ind w:left="709"/>
        <w:jc w:val="both"/>
        <w:rPr>
          <w:rFonts w:ascii="Garamond" w:eastAsia="Times New Roman" w:hAnsi="Garamond" w:cs="Arial"/>
          <w:color w:val="000000"/>
          <w:sz w:val="28"/>
          <w:szCs w:val="28"/>
          <w:lang w:eastAsia="es-ES_tradnl"/>
        </w:rPr>
      </w:pPr>
      <w:r w:rsidRPr="008B3C4C">
        <w:rPr>
          <w:rFonts w:ascii="Garamond" w:eastAsia="Times New Roman" w:hAnsi="Garamond" w:cs="Arial"/>
          <w:color w:val="000000"/>
          <w:sz w:val="28"/>
          <w:szCs w:val="28"/>
          <w:lang w:eastAsia="es-ES_tradnl"/>
        </w:rPr>
        <w:t>La valoración que realice el funcionario encargado de realizar el proceso de valoración debe respetar los principios constitucionales de dignidad, buena fe, confianza legítima y prevalencia del derecho sustancial.</w:t>
      </w:r>
    </w:p>
    <w:p w14:paraId="7FD90768" w14:textId="77777777" w:rsidR="0013701A" w:rsidRPr="008B3C4C" w:rsidRDefault="0013701A" w:rsidP="0013701A">
      <w:pPr>
        <w:spacing w:before="100" w:beforeAutospacing="1" w:after="120" w:line="276" w:lineRule="auto"/>
        <w:ind w:left="709"/>
        <w:jc w:val="both"/>
        <w:rPr>
          <w:rFonts w:ascii="Garamond" w:eastAsia="Times New Roman" w:hAnsi="Garamond" w:cs="Arial"/>
          <w:color w:val="000000"/>
          <w:sz w:val="28"/>
          <w:szCs w:val="28"/>
          <w:lang w:eastAsia="es-ES_tradnl"/>
        </w:rPr>
      </w:pPr>
      <w:r w:rsidRPr="008B3C4C">
        <w:rPr>
          <w:rFonts w:ascii="Garamond" w:eastAsia="Times New Roman" w:hAnsi="Garamond" w:cs="Arial"/>
          <w:b/>
          <w:bCs/>
          <w:color w:val="000000"/>
          <w:sz w:val="28"/>
          <w:szCs w:val="28"/>
          <w:lang w:eastAsia="es-ES_tradnl"/>
        </w:rPr>
        <w:t>PARÁGRAFO.</w:t>
      </w:r>
      <w:r w:rsidRPr="008B3C4C">
        <w:rPr>
          <w:rFonts w:ascii="Garamond" w:eastAsia="Times New Roman" w:hAnsi="Garamond" w:cs="Arial"/>
          <w:color w:val="000000"/>
          <w:sz w:val="28"/>
          <w:szCs w:val="28"/>
          <w:lang w:eastAsia="es-ES_tradnl"/>
        </w:rPr>
        <w:t xml:space="preserve"> Las personas que se encuentren actualmente registradas como víctimas, luego de un proceso de valoración, no tendrán que presentar una declaración adicional por los mismos hechos </w:t>
      </w:r>
      <w:proofErr w:type="spellStart"/>
      <w:r w:rsidRPr="008B3C4C">
        <w:rPr>
          <w:rFonts w:ascii="Garamond" w:eastAsia="Times New Roman" w:hAnsi="Garamond" w:cs="Arial"/>
          <w:color w:val="000000"/>
          <w:sz w:val="28"/>
          <w:szCs w:val="28"/>
          <w:lang w:eastAsia="es-ES_tradnl"/>
        </w:rPr>
        <w:t>victimizantes</w:t>
      </w:r>
      <w:proofErr w:type="spellEnd"/>
      <w:r w:rsidRPr="008B3C4C">
        <w:rPr>
          <w:rFonts w:ascii="Garamond" w:eastAsia="Times New Roman" w:hAnsi="Garamond" w:cs="Arial"/>
          <w:color w:val="000000"/>
          <w:sz w:val="28"/>
          <w:szCs w:val="28"/>
          <w:lang w:eastAsia="es-ES_tradnl"/>
        </w:rPr>
        <w:t>. Para efectos de determinar si la persona ya se encuentra registrada, se tendrán en cuenta las bases de datos existentes al momento de la expedición de la presente Ley.</w:t>
      </w:r>
    </w:p>
    <w:p w14:paraId="43FE0E7A" w14:textId="77777777" w:rsidR="0013701A" w:rsidRPr="008B3C4C" w:rsidRDefault="0013701A" w:rsidP="0013701A">
      <w:pPr>
        <w:spacing w:before="100" w:beforeAutospacing="1" w:after="120" w:line="276" w:lineRule="auto"/>
        <w:ind w:left="709"/>
        <w:jc w:val="both"/>
        <w:rPr>
          <w:rFonts w:ascii="Garamond" w:eastAsia="Times New Roman" w:hAnsi="Garamond" w:cs="Arial"/>
          <w:color w:val="000000"/>
          <w:sz w:val="28"/>
          <w:szCs w:val="28"/>
          <w:lang w:eastAsia="es-ES_tradnl"/>
        </w:rPr>
      </w:pPr>
      <w:r w:rsidRPr="008B3C4C">
        <w:rPr>
          <w:rFonts w:ascii="Garamond" w:eastAsia="Times New Roman" w:hAnsi="Garamond" w:cs="Arial"/>
          <w:color w:val="000000"/>
          <w:sz w:val="28"/>
          <w:szCs w:val="28"/>
          <w:lang w:eastAsia="es-ES_tradnl"/>
        </w:rPr>
        <w:t xml:space="preserve">En los eventos en que la persona refiera hechos </w:t>
      </w:r>
      <w:proofErr w:type="spellStart"/>
      <w:r w:rsidRPr="008B3C4C">
        <w:rPr>
          <w:rFonts w:ascii="Garamond" w:eastAsia="Times New Roman" w:hAnsi="Garamond" w:cs="Arial"/>
          <w:color w:val="000000"/>
          <w:sz w:val="28"/>
          <w:szCs w:val="28"/>
          <w:lang w:eastAsia="es-ES_tradnl"/>
        </w:rPr>
        <w:t>victimizantes</w:t>
      </w:r>
      <w:proofErr w:type="spellEnd"/>
      <w:r w:rsidRPr="008B3C4C">
        <w:rPr>
          <w:rFonts w:ascii="Garamond" w:eastAsia="Times New Roman" w:hAnsi="Garamond" w:cs="Arial"/>
          <w:color w:val="000000"/>
          <w:sz w:val="28"/>
          <w:szCs w:val="28"/>
          <w:lang w:eastAsia="es-ES_tradnl"/>
        </w:rPr>
        <w:t xml:space="preserve"> adicionales a los contenidos en las bases de datos existentes, deberá presentar la declaración a la que se refiere el presente artículo.</w:t>
      </w:r>
    </w:p>
    <w:p w14:paraId="047E352B" w14:textId="77777777" w:rsidR="0013701A" w:rsidRPr="008B3C4C" w:rsidRDefault="0013701A" w:rsidP="0013701A">
      <w:pPr>
        <w:spacing w:before="100" w:beforeAutospacing="1" w:after="120" w:line="276" w:lineRule="auto"/>
        <w:ind w:left="709"/>
        <w:jc w:val="both"/>
        <w:rPr>
          <w:rFonts w:ascii="Garamond" w:eastAsia="Times New Roman" w:hAnsi="Garamond" w:cs="Arial"/>
          <w:color w:val="000000"/>
          <w:sz w:val="28"/>
          <w:szCs w:val="28"/>
          <w:lang w:eastAsia="es-ES_tradnl"/>
        </w:rPr>
      </w:pPr>
      <w:r w:rsidRPr="008B3C4C">
        <w:rPr>
          <w:rFonts w:ascii="Garamond" w:eastAsia="Times New Roman" w:hAnsi="Garamond" w:cs="Arial"/>
          <w:b/>
          <w:color w:val="000000"/>
          <w:sz w:val="28"/>
          <w:szCs w:val="28"/>
          <w:lang w:eastAsia="es-ES_tradnl"/>
        </w:rPr>
        <w:lastRenderedPageBreak/>
        <w:t xml:space="preserve">PARÁGRAFO TRANSITORIO. </w:t>
      </w:r>
      <w:r w:rsidRPr="008B3C4C">
        <w:rPr>
          <w:rFonts w:ascii="Garamond" w:eastAsia="Times New Roman" w:hAnsi="Garamond" w:cs="Arial"/>
          <w:color w:val="000000"/>
          <w:sz w:val="28"/>
          <w:szCs w:val="28"/>
          <w:lang w:eastAsia="es-ES_tradnl"/>
        </w:rPr>
        <w:t>Las víctimas que hayan sido victimizadas con anterioridad a la promulgación de la presente ley, y no hayan rendido declaración ante el Ministerio Público, podrán rendirla hasta el 8 de enero de 2025, en concordancia con lo modificado por el artículo 2 de la Ley 2078 de 2021,</w:t>
      </w:r>
      <w:r w:rsidRPr="008B3C4C">
        <w:rPr>
          <w:rFonts w:ascii="Garamond" w:eastAsia="Times New Roman" w:hAnsi="Garamond" w:cs="Arial"/>
          <w:i/>
          <w:color w:val="000000"/>
          <w:sz w:val="28"/>
          <w:szCs w:val="28"/>
          <w:lang w:eastAsia="es-ES_tradnl"/>
        </w:rPr>
        <w:t xml:space="preserve"> </w:t>
      </w:r>
      <w:r w:rsidRPr="008B3C4C">
        <w:rPr>
          <w:rFonts w:ascii="Garamond" w:eastAsia="Times New Roman" w:hAnsi="Garamond" w:cs="Arial"/>
          <w:bCs/>
          <w:i/>
          <w:color w:val="000000"/>
          <w:sz w:val="28"/>
          <w:szCs w:val="28"/>
          <w:shd w:val="clear" w:color="auto" w:fill="FFFFFF"/>
          <w:lang w:eastAsia="es-ES_tradnl"/>
        </w:rPr>
        <w:t>"Por medio de la cual se modifica la ley 1448 de 2011 y los Decretos Ley étnicos 4633 de 2011, 4634 de 2011y 4635 de 2011, prorrogando por 10 años su vigencia".</w:t>
      </w:r>
    </w:p>
    <w:p w14:paraId="6C7414F9" w14:textId="77777777" w:rsidR="004349DA" w:rsidRPr="008B3C4C" w:rsidRDefault="004349DA" w:rsidP="0013701A">
      <w:pPr>
        <w:spacing w:before="100" w:beforeAutospacing="1" w:after="120" w:line="276" w:lineRule="auto"/>
        <w:jc w:val="both"/>
        <w:rPr>
          <w:rFonts w:ascii="Garamond" w:eastAsia="Times New Roman" w:hAnsi="Garamond" w:cs="Times New Roman"/>
          <w:b/>
          <w:color w:val="000000"/>
          <w:sz w:val="28"/>
          <w:szCs w:val="28"/>
          <w:lang w:eastAsia="es-ES_tradnl"/>
        </w:rPr>
      </w:pPr>
    </w:p>
    <w:p w14:paraId="3C559004" w14:textId="4472505E" w:rsidR="004349DA" w:rsidRPr="008B3C4C" w:rsidRDefault="004349DA" w:rsidP="0013701A">
      <w:pPr>
        <w:spacing w:before="100" w:beforeAutospacing="1" w:after="120" w:line="276" w:lineRule="auto"/>
        <w:jc w:val="both"/>
        <w:rPr>
          <w:rFonts w:ascii="Garamond" w:eastAsia="Times New Roman" w:hAnsi="Garamond" w:cs="Times New Roman"/>
          <w:color w:val="000000"/>
          <w:sz w:val="28"/>
          <w:szCs w:val="28"/>
          <w:lang w:eastAsia="es-ES_tradnl"/>
        </w:rPr>
      </w:pPr>
      <w:r w:rsidRPr="008B3C4C">
        <w:rPr>
          <w:rFonts w:ascii="Garamond" w:eastAsia="Times New Roman" w:hAnsi="Garamond" w:cs="Times New Roman"/>
          <w:b/>
          <w:color w:val="000000"/>
          <w:sz w:val="28"/>
          <w:szCs w:val="28"/>
          <w:lang w:eastAsia="es-ES_tradnl"/>
        </w:rPr>
        <w:t xml:space="preserve">Artículo 4°. </w:t>
      </w:r>
      <w:r w:rsidRPr="008B3C4C">
        <w:rPr>
          <w:rFonts w:ascii="Garamond" w:eastAsia="Times New Roman" w:hAnsi="Garamond" w:cs="Times New Roman"/>
          <w:color w:val="000000"/>
          <w:sz w:val="28"/>
          <w:szCs w:val="28"/>
          <w:lang w:eastAsia="es-ES_tradnl"/>
        </w:rPr>
        <w:t>La Unidad para la Atención y Reparación Integral a las Víctimas en el marco de sus</w:t>
      </w:r>
      <w:r w:rsidR="005A54F6">
        <w:rPr>
          <w:rFonts w:ascii="Garamond" w:eastAsia="Times New Roman" w:hAnsi="Garamond" w:cs="Times New Roman"/>
          <w:color w:val="000000"/>
          <w:sz w:val="28"/>
          <w:szCs w:val="28"/>
          <w:lang w:eastAsia="es-ES_tradnl"/>
        </w:rPr>
        <w:t xml:space="preserve"> competencias y garantizando la</w:t>
      </w:r>
      <w:bookmarkStart w:id="0" w:name="_GoBack"/>
      <w:bookmarkEnd w:id="0"/>
      <w:r w:rsidRPr="008B3C4C">
        <w:rPr>
          <w:rFonts w:ascii="Garamond" w:eastAsia="Times New Roman" w:hAnsi="Garamond" w:cs="Times New Roman"/>
          <w:color w:val="000000"/>
          <w:sz w:val="28"/>
          <w:szCs w:val="28"/>
          <w:lang w:eastAsia="es-ES_tradnl"/>
        </w:rPr>
        <w:t xml:space="preserve"> participación de la Mesa Nacional de Víctimas, tendrá un plazo de tres meses (3) contados a partir de la expedición de la</w:t>
      </w:r>
      <w:r w:rsidR="005A54F6">
        <w:rPr>
          <w:rFonts w:ascii="Garamond" w:eastAsia="Times New Roman" w:hAnsi="Garamond" w:cs="Times New Roman"/>
          <w:color w:val="000000"/>
          <w:sz w:val="28"/>
          <w:szCs w:val="28"/>
          <w:lang w:eastAsia="es-ES_tradnl"/>
        </w:rPr>
        <w:t xml:space="preserve"> presente ley para elaborar un</w:t>
      </w:r>
      <w:r w:rsidRPr="008B3C4C">
        <w:rPr>
          <w:rFonts w:ascii="Garamond" w:eastAsia="Times New Roman" w:hAnsi="Garamond" w:cs="Times New Roman"/>
          <w:color w:val="000000"/>
          <w:sz w:val="28"/>
          <w:szCs w:val="28"/>
          <w:lang w:eastAsia="es-ES_tradnl"/>
        </w:rPr>
        <w:t xml:space="preserve"> Plan de Acción en el que se establezcan medidas frente a las barreras que limitan o impiden a las víctimas realizar su declaración ante el Ministerio Público.</w:t>
      </w:r>
    </w:p>
    <w:p w14:paraId="3982B129" w14:textId="77777777" w:rsidR="004349DA" w:rsidRPr="008B3C4C" w:rsidRDefault="004349DA" w:rsidP="0013701A">
      <w:pPr>
        <w:spacing w:before="100" w:beforeAutospacing="1" w:after="120" w:line="276" w:lineRule="auto"/>
        <w:jc w:val="both"/>
        <w:rPr>
          <w:rFonts w:ascii="Garamond" w:eastAsia="Times New Roman" w:hAnsi="Garamond" w:cs="Times New Roman"/>
          <w:b/>
          <w:color w:val="000000"/>
          <w:sz w:val="28"/>
          <w:szCs w:val="28"/>
          <w:lang w:eastAsia="es-ES_tradnl"/>
        </w:rPr>
      </w:pPr>
    </w:p>
    <w:p w14:paraId="78CA53BC" w14:textId="4D4F0B5F" w:rsidR="0013701A" w:rsidRPr="008B3C4C" w:rsidRDefault="004349DA" w:rsidP="0013701A">
      <w:pPr>
        <w:spacing w:before="100" w:beforeAutospacing="1" w:after="120" w:line="276" w:lineRule="auto"/>
        <w:jc w:val="both"/>
        <w:rPr>
          <w:rFonts w:ascii="Garamond" w:eastAsia="Times New Roman" w:hAnsi="Garamond" w:cs="Times New Roman"/>
          <w:color w:val="000000"/>
          <w:sz w:val="28"/>
          <w:szCs w:val="28"/>
          <w:lang w:eastAsia="es-ES_tradnl"/>
        </w:rPr>
      </w:pPr>
      <w:r w:rsidRPr="008B3C4C">
        <w:rPr>
          <w:rFonts w:ascii="Garamond" w:eastAsia="Times New Roman" w:hAnsi="Garamond" w:cs="Times New Roman"/>
          <w:b/>
          <w:color w:val="000000"/>
          <w:sz w:val="28"/>
          <w:szCs w:val="28"/>
          <w:lang w:eastAsia="es-ES_tradnl"/>
        </w:rPr>
        <w:t>Artículo 5</w:t>
      </w:r>
      <w:r w:rsidR="0013701A" w:rsidRPr="008B3C4C">
        <w:rPr>
          <w:rFonts w:ascii="Garamond" w:eastAsia="Times New Roman" w:hAnsi="Garamond" w:cs="Times New Roman"/>
          <w:b/>
          <w:color w:val="000000"/>
          <w:sz w:val="28"/>
          <w:szCs w:val="28"/>
          <w:lang w:eastAsia="es-ES_tradnl"/>
        </w:rPr>
        <w:t>°. Vigencia.</w:t>
      </w:r>
      <w:r w:rsidR="0013701A" w:rsidRPr="008B3C4C">
        <w:rPr>
          <w:rFonts w:ascii="Garamond" w:eastAsia="Times New Roman" w:hAnsi="Garamond" w:cs="Times New Roman"/>
          <w:color w:val="000000"/>
          <w:sz w:val="28"/>
          <w:szCs w:val="28"/>
          <w:lang w:eastAsia="es-ES_tradnl"/>
        </w:rPr>
        <w:t xml:space="preserve"> La presente Ley rige a partir de su promulgación</w:t>
      </w:r>
      <w:r w:rsidRPr="008B3C4C">
        <w:rPr>
          <w:rFonts w:ascii="Garamond" w:eastAsia="Times New Roman" w:hAnsi="Garamond" w:cs="Times New Roman"/>
          <w:color w:val="000000"/>
          <w:sz w:val="28"/>
          <w:szCs w:val="28"/>
          <w:lang w:eastAsia="es-ES_tradnl"/>
        </w:rPr>
        <w:t xml:space="preserve">, tendrá una vigencia hasta el 10 de junio de 2031 </w:t>
      </w:r>
      <w:r w:rsidR="0013701A" w:rsidRPr="008B3C4C">
        <w:rPr>
          <w:rFonts w:ascii="Garamond" w:eastAsia="Times New Roman" w:hAnsi="Garamond" w:cs="Times New Roman"/>
          <w:color w:val="000000"/>
          <w:sz w:val="28"/>
          <w:szCs w:val="28"/>
          <w:lang w:eastAsia="es-ES_tradnl"/>
        </w:rPr>
        <w:t xml:space="preserve"> y deroga todas las disposiciones que le sean contrarias. </w:t>
      </w:r>
    </w:p>
    <w:p w14:paraId="02CE70C4" w14:textId="77777777" w:rsidR="00D741FA" w:rsidRPr="008B3C4C" w:rsidRDefault="00D741FA" w:rsidP="00DE0F69">
      <w:pPr>
        <w:jc w:val="both"/>
        <w:rPr>
          <w:rFonts w:ascii="Garamond" w:hAnsi="Garamond" w:cs="Arial"/>
          <w:sz w:val="28"/>
          <w:szCs w:val="28"/>
        </w:rPr>
      </w:pPr>
    </w:p>
    <w:p w14:paraId="563073C8" w14:textId="21CFA672" w:rsidR="00DE0F69" w:rsidRPr="008B3C4C" w:rsidRDefault="005C1623" w:rsidP="00DE0F69">
      <w:pPr>
        <w:jc w:val="both"/>
        <w:rPr>
          <w:rFonts w:ascii="Garamond" w:eastAsia="Times New Roman" w:hAnsi="Garamond" w:cs="Arial"/>
          <w:b/>
          <w:sz w:val="28"/>
          <w:szCs w:val="28"/>
          <w:lang w:eastAsia="es-CO"/>
        </w:rPr>
      </w:pPr>
      <w:r w:rsidRPr="008B3C4C">
        <w:rPr>
          <w:rFonts w:ascii="Garamond" w:hAnsi="Garamond" w:cs="Arial"/>
          <w:sz w:val="28"/>
          <w:szCs w:val="28"/>
        </w:rPr>
        <w:t>E</w:t>
      </w:r>
      <w:r w:rsidR="00DE0F69" w:rsidRPr="008B3C4C">
        <w:rPr>
          <w:rFonts w:ascii="Garamond" w:hAnsi="Garamond" w:cs="Arial"/>
          <w:sz w:val="28"/>
          <w:szCs w:val="28"/>
        </w:rPr>
        <w:t>n</w:t>
      </w:r>
      <w:r w:rsidR="00DE0F69" w:rsidRPr="008B3C4C">
        <w:rPr>
          <w:rFonts w:ascii="Garamond" w:hAnsi="Garamond" w:cs="Arial"/>
          <w:sz w:val="28"/>
          <w:szCs w:val="28"/>
          <w:lang w:val="es-ES" w:eastAsia="es-ES"/>
        </w:rPr>
        <w:t xml:space="preserve"> los anteriores términos fue aprobado con modifi</w:t>
      </w:r>
      <w:r w:rsidR="003B7C49" w:rsidRPr="008B3C4C">
        <w:rPr>
          <w:rFonts w:ascii="Garamond" w:hAnsi="Garamond" w:cs="Arial"/>
          <w:sz w:val="28"/>
          <w:szCs w:val="28"/>
          <w:lang w:val="es-ES" w:eastAsia="es-ES"/>
        </w:rPr>
        <w:t>caciones el presente Proyecto d</w:t>
      </w:r>
      <w:r w:rsidR="00580838" w:rsidRPr="008B3C4C">
        <w:rPr>
          <w:rFonts w:ascii="Garamond" w:hAnsi="Garamond" w:cs="Arial"/>
          <w:sz w:val="28"/>
          <w:szCs w:val="28"/>
          <w:lang w:val="es-ES" w:eastAsia="es-ES"/>
        </w:rPr>
        <w:t>e Ley según consta en Acta No. 3</w:t>
      </w:r>
      <w:r w:rsidR="003B7C49" w:rsidRPr="008B3C4C">
        <w:rPr>
          <w:rFonts w:ascii="Garamond" w:hAnsi="Garamond" w:cs="Arial"/>
          <w:sz w:val="28"/>
          <w:szCs w:val="28"/>
          <w:lang w:val="es-ES" w:eastAsia="es-ES"/>
        </w:rPr>
        <w:t xml:space="preserve">1 de Sesión de </w:t>
      </w:r>
      <w:r w:rsidR="00580838" w:rsidRPr="008B3C4C">
        <w:rPr>
          <w:rFonts w:ascii="Garamond" w:hAnsi="Garamond" w:cs="Arial"/>
          <w:sz w:val="28"/>
          <w:szCs w:val="28"/>
          <w:lang w:val="es-ES" w:eastAsia="es-ES"/>
        </w:rPr>
        <w:t>Noviembre 29</w:t>
      </w:r>
      <w:r w:rsidR="00FB1A5C" w:rsidRPr="008B3C4C">
        <w:rPr>
          <w:rFonts w:ascii="Garamond" w:hAnsi="Garamond" w:cs="Arial"/>
          <w:sz w:val="28"/>
          <w:szCs w:val="28"/>
          <w:lang w:val="es-ES" w:eastAsia="es-ES"/>
        </w:rPr>
        <w:t xml:space="preserve"> </w:t>
      </w:r>
      <w:r w:rsidR="009501D7" w:rsidRPr="008B3C4C">
        <w:rPr>
          <w:rFonts w:ascii="Garamond" w:hAnsi="Garamond" w:cs="Arial"/>
          <w:sz w:val="28"/>
          <w:szCs w:val="28"/>
          <w:lang w:val="es-ES" w:eastAsia="es-ES"/>
        </w:rPr>
        <w:t>de</w:t>
      </w:r>
      <w:r w:rsidR="00B82098" w:rsidRPr="008B3C4C">
        <w:rPr>
          <w:rFonts w:ascii="Garamond" w:hAnsi="Garamond" w:cs="Arial"/>
          <w:sz w:val="28"/>
          <w:szCs w:val="28"/>
          <w:lang w:val="es-ES" w:eastAsia="es-ES"/>
        </w:rPr>
        <w:t xml:space="preserve"> 2022</w:t>
      </w:r>
      <w:r w:rsidR="00561E5C" w:rsidRPr="008B3C4C">
        <w:rPr>
          <w:rFonts w:ascii="Garamond" w:hAnsi="Garamond" w:cs="Arial"/>
          <w:sz w:val="28"/>
          <w:szCs w:val="28"/>
          <w:lang w:val="es-ES" w:eastAsia="es-ES"/>
        </w:rPr>
        <w:t>.</w:t>
      </w:r>
      <w:r w:rsidR="00DD1ABA" w:rsidRPr="008B3C4C">
        <w:rPr>
          <w:rFonts w:ascii="Garamond" w:hAnsi="Garamond" w:cs="Arial"/>
          <w:sz w:val="28"/>
          <w:szCs w:val="28"/>
          <w:lang w:val="es-ES" w:eastAsia="es-ES"/>
        </w:rPr>
        <w:t xml:space="preserve"> Anunciado </w:t>
      </w:r>
      <w:r w:rsidR="00FB1A5C" w:rsidRPr="008B3C4C">
        <w:rPr>
          <w:rFonts w:ascii="Garamond" w:hAnsi="Garamond" w:cs="Arial"/>
          <w:sz w:val="28"/>
          <w:szCs w:val="28"/>
          <w:lang w:val="es-ES" w:eastAsia="es-ES"/>
        </w:rPr>
        <w:t xml:space="preserve">entre otras fechas, </w:t>
      </w:r>
      <w:r w:rsidR="00DE0F69" w:rsidRPr="008B3C4C">
        <w:rPr>
          <w:rFonts w:ascii="Garamond" w:hAnsi="Garamond" w:cs="Arial"/>
          <w:sz w:val="28"/>
          <w:szCs w:val="28"/>
          <w:lang w:val="es-ES" w:eastAsia="es-ES"/>
        </w:rPr>
        <w:t xml:space="preserve">el </w:t>
      </w:r>
      <w:r w:rsidR="00580838" w:rsidRPr="008B3C4C">
        <w:rPr>
          <w:rFonts w:ascii="Garamond" w:hAnsi="Garamond" w:cs="Arial"/>
          <w:sz w:val="28"/>
          <w:szCs w:val="28"/>
          <w:lang w:val="es-ES" w:eastAsia="es-ES"/>
        </w:rPr>
        <w:t>28</w:t>
      </w:r>
      <w:r w:rsidR="00773A5D" w:rsidRPr="008B3C4C">
        <w:rPr>
          <w:rFonts w:ascii="Garamond" w:hAnsi="Garamond" w:cs="Arial"/>
          <w:sz w:val="28"/>
          <w:szCs w:val="28"/>
          <w:lang w:val="es-ES" w:eastAsia="es-ES"/>
        </w:rPr>
        <w:t xml:space="preserve"> de </w:t>
      </w:r>
      <w:r w:rsidR="00580838" w:rsidRPr="008B3C4C">
        <w:rPr>
          <w:rFonts w:ascii="Garamond" w:hAnsi="Garamond" w:cs="Arial"/>
          <w:sz w:val="28"/>
          <w:szCs w:val="28"/>
          <w:lang w:val="es-ES" w:eastAsia="es-ES"/>
        </w:rPr>
        <w:t xml:space="preserve">Noviembre </w:t>
      </w:r>
      <w:r w:rsidR="00DE0F69" w:rsidRPr="008B3C4C">
        <w:rPr>
          <w:rFonts w:ascii="Garamond" w:hAnsi="Garamond" w:cs="Arial"/>
          <w:sz w:val="28"/>
          <w:szCs w:val="28"/>
          <w:lang w:val="es-ES" w:eastAsia="es-ES"/>
        </w:rPr>
        <w:t>de 2022</w:t>
      </w:r>
      <w:r w:rsidR="00580838" w:rsidRPr="008B3C4C">
        <w:rPr>
          <w:rFonts w:ascii="Garamond" w:hAnsi="Garamond" w:cs="Arial"/>
          <w:sz w:val="28"/>
          <w:szCs w:val="28"/>
          <w:lang w:val="es-ES" w:eastAsia="es-ES"/>
        </w:rPr>
        <w:t xml:space="preserve"> según consta en Acta No. 04 Sesión Conjuntas Comisiones Primeras Constitucionales Senado de la República y Cámara de Representantes</w:t>
      </w:r>
      <w:r w:rsidR="00561E5C" w:rsidRPr="008B3C4C">
        <w:rPr>
          <w:rFonts w:ascii="Garamond" w:hAnsi="Garamond" w:cs="Arial"/>
          <w:sz w:val="28"/>
          <w:szCs w:val="28"/>
          <w:lang w:val="es-ES" w:eastAsia="es-ES"/>
        </w:rPr>
        <w:t>.</w:t>
      </w:r>
    </w:p>
    <w:p w14:paraId="46F4DA47" w14:textId="77777777" w:rsidR="006F287E" w:rsidRPr="008B3C4C" w:rsidRDefault="006F287E" w:rsidP="00ED247F">
      <w:pPr>
        <w:spacing w:after="0" w:line="240" w:lineRule="auto"/>
        <w:jc w:val="both"/>
        <w:rPr>
          <w:rFonts w:ascii="Garamond" w:eastAsia="Times New Roman" w:hAnsi="Garamond" w:cs="Arial"/>
          <w:b/>
          <w:sz w:val="28"/>
          <w:szCs w:val="28"/>
          <w:lang w:eastAsia="es-CO"/>
        </w:rPr>
      </w:pPr>
    </w:p>
    <w:p w14:paraId="5492EB97" w14:textId="77777777" w:rsidR="00091958" w:rsidRPr="00FB65EF" w:rsidRDefault="00091958" w:rsidP="00ED247F">
      <w:pPr>
        <w:spacing w:after="0" w:line="240" w:lineRule="auto"/>
        <w:jc w:val="both"/>
        <w:rPr>
          <w:rFonts w:ascii="Garamond" w:eastAsia="Times New Roman" w:hAnsi="Garamond" w:cs="Arial"/>
          <w:b/>
          <w:sz w:val="24"/>
          <w:szCs w:val="24"/>
          <w:lang w:eastAsia="es-CO"/>
        </w:rPr>
      </w:pPr>
    </w:p>
    <w:p w14:paraId="5F2B0442" w14:textId="77777777" w:rsidR="002B5127" w:rsidRDefault="002B5127" w:rsidP="00ED247F">
      <w:pPr>
        <w:spacing w:after="0" w:line="240" w:lineRule="auto"/>
        <w:jc w:val="both"/>
        <w:rPr>
          <w:rFonts w:ascii="Garamond" w:eastAsia="Times New Roman" w:hAnsi="Garamond" w:cs="Arial"/>
          <w:b/>
          <w:sz w:val="24"/>
          <w:szCs w:val="24"/>
          <w:lang w:eastAsia="es-CO"/>
        </w:rPr>
      </w:pPr>
    </w:p>
    <w:p w14:paraId="608C17A5" w14:textId="1F496EC3" w:rsidR="00ED247F" w:rsidRPr="00FB65EF" w:rsidRDefault="00881B76" w:rsidP="00ED247F">
      <w:pPr>
        <w:spacing w:after="0" w:line="240" w:lineRule="auto"/>
        <w:jc w:val="both"/>
        <w:rPr>
          <w:rFonts w:ascii="Garamond" w:eastAsia="Times New Roman" w:hAnsi="Garamond" w:cs="Arial"/>
          <w:b/>
          <w:sz w:val="24"/>
          <w:szCs w:val="24"/>
          <w:lang w:eastAsia="es-CO"/>
        </w:rPr>
      </w:pPr>
      <w:r w:rsidRPr="00FB65EF">
        <w:rPr>
          <w:rFonts w:ascii="Garamond" w:eastAsia="Times New Roman" w:hAnsi="Garamond" w:cs="Arial"/>
          <w:b/>
          <w:sz w:val="24"/>
          <w:szCs w:val="24"/>
          <w:lang w:eastAsia="es-CO"/>
        </w:rPr>
        <w:t xml:space="preserve">ORLANDO CASTILLO ADVÍNCULA     </w:t>
      </w:r>
      <w:r w:rsidR="002B5127">
        <w:rPr>
          <w:rFonts w:ascii="Garamond" w:eastAsia="Times New Roman" w:hAnsi="Garamond" w:cs="Arial"/>
          <w:b/>
          <w:sz w:val="24"/>
          <w:szCs w:val="24"/>
          <w:lang w:eastAsia="es-CO"/>
        </w:rPr>
        <w:t xml:space="preserve">  </w:t>
      </w:r>
      <w:r w:rsidR="002215A9" w:rsidRPr="00FB65EF">
        <w:rPr>
          <w:rFonts w:ascii="Garamond" w:eastAsia="Times New Roman" w:hAnsi="Garamond" w:cs="Arial"/>
          <w:b/>
          <w:sz w:val="24"/>
          <w:szCs w:val="24"/>
          <w:lang w:eastAsia="es-CO"/>
        </w:rPr>
        <w:t>JUAN CARLOS WILLS OSPINA</w:t>
      </w:r>
      <w:r w:rsidR="007C2A3E" w:rsidRPr="00FB65EF">
        <w:rPr>
          <w:rFonts w:ascii="Garamond" w:eastAsia="Times New Roman" w:hAnsi="Garamond" w:cs="Arial"/>
          <w:b/>
          <w:sz w:val="24"/>
          <w:szCs w:val="24"/>
          <w:lang w:eastAsia="es-CO"/>
        </w:rPr>
        <w:t xml:space="preserve">   </w:t>
      </w:r>
    </w:p>
    <w:p w14:paraId="75139BE4" w14:textId="3542044C" w:rsidR="00ED247F" w:rsidRPr="00FB65EF" w:rsidRDefault="003B5426" w:rsidP="00ED247F">
      <w:pPr>
        <w:spacing w:after="0" w:line="240" w:lineRule="auto"/>
        <w:jc w:val="both"/>
        <w:rPr>
          <w:rFonts w:ascii="Garamond" w:eastAsia="Times New Roman" w:hAnsi="Garamond" w:cs="Arial"/>
          <w:sz w:val="24"/>
          <w:szCs w:val="24"/>
          <w:lang w:eastAsia="es-CO"/>
        </w:rPr>
      </w:pPr>
      <w:r w:rsidRPr="00FB65EF">
        <w:rPr>
          <w:rFonts w:ascii="Garamond" w:eastAsia="Times New Roman" w:hAnsi="Garamond" w:cs="Arial"/>
          <w:sz w:val="24"/>
          <w:szCs w:val="24"/>
          <w:lang w:eastAsia="es-CO"/>
        </w:rPr>
        <w:t>Ponente C</w:t>
      </w:r>
      <w:r w:rsidR="00ED247F" w:rsidRPr="00FB65EF">
        <w:rPr>
          <w:rFonts w:ascii="Garamond" w:eastAsia="Times New Roman" w:hAnsi="Garamond" w:cs="Arial"/>
          <w:sz w:val="24"/>
          <w:szCs w:val="24"/>
          <w:lang w:eastAsia="es-CO"/>
        </w:rPr>
        <w:t>oordinador</w:t>
      </w:r>
      <w:r w:rsidR="00ED247F" w:rsidRPr="00FB65EF">
        <w:rPr>
          <w:rFonts w:ascii="Garamond" w:eastAsia="Times New Roman" w:hAnsi="Garamond" w:cs="Arial"/>
          <w:sz w:val="24"/>
          <w:szCs w:val="24"/>
          <w:lang w:eastAsia="es-CO"/>
        </w:rPr>
        <w:tab/>
      </w:r>
      <w:r w:rsidR="00ED247F" w:rsidRPr="00FB65EF">
        <w:rPr>
          <w:rFonts w:ascii="Garamond" w:eastAsia="Times New Roman" w:hAnsi="Garamond" w:cs="Arial"/>
          <w:sz w:val="24"/>
          <w:szCs w:val="24"/>
          <w:lang w:eastAsia="es-CO"/>
        </w:rPr>
        <w:tab/>
      </w:r>
      <w:r w:rsidR="00ED247F" w:rsidRPr="00FB65EF">
        <w:rPr>
          <w:rFonts w:ascii="Garamond" w:eastAsia="Times New Roman" w:hAnsi="Garamond" w:cs="Arial"/>
          <w:sz w:val="24"/>
          <w:szCs w:val="24"/>
          <w:lang w:eastAsia="es-CO"/>
        </w:rPr>
        <w:tab/>
      </w:r>
      <w:r w:rsidR="001C3B3B" w:rsidRPr="00FB65EF">
        <w:rPr>
          <w:rFonts w:ascii="Garamond" w:eastAsia="Times New Roman" w:hAnsi="Garamond" w:cs="Arial"/>
          <w:sz w:val="24"/>
          <w:szCs w:val="24"/>
          <w:lang w:eastAsia="es-CO"/>
        </w:rPr>
        <w:tab/>
      </w:r>
      <w:r w:rsidR="002215A9" w:rsidRPr="00FB65EF">
        <w:rPr>
          <w:rFonts w:ascii="Garamond" w:eastAsia="Times New Roman" w:hAnsi="Garamond" w:cs="Arial"/>
          <w:sz w:val="24"/>
          <w:szCs w:val="24"/>
          <w:lang w:eastAsia="es-CO"/>
        </w:rPr>
        <w:t xml:space="preserve">   </w:t>
      </w:r>
      <w:r w:rsidR="00ED247F" w:rsidRPr="00FB65EF">
        <w:rPr>
          <w:rFonts w:ascii="Garamond" w:eastAsia="Times New Roman" w:hAnsi="Garamond" w:cs="Arial"/>
          <w:sz w:val="24"/>
          <w:szCs w:val="24"/>
          <w:lang w:eastAsia="es-CO"/>
        </w:rPr>
        <w:t>Presidente</w:t>
      </w:r>
    </w:p>
    <w:p w14:paraId="6E318636" w14:textId="77777777" w:rsidR="00992371" w:rsidRPr="00FB65EF" w:rsidRDefault="00992371" w:rsidP="00ED247F">
      <w:pPr>
        <w:spacing w:after="0" w:line="240" w:lineRule="auto"/>
        <w:jc w:val="both"/>
        <w:rPr>
          <w:rFonts w:ascii="Garamond" w:eastAsia="Times New Roman" w:hAnsi="Garamond" w:cs="Arial"/>
          <w:b/>
          <w:sz w:val="24"/>
          <w:szCs w:val="24"/>
          <w:lang w:eastAsia="es-CO"/>
        </w:rPr>
      </w:pPr>
    </w:p>
    <w:p w14:paraId="43141F50" w14:textId="77777777" w:rsidR="009F2589" w:rsidRPr="00FB65EF" w:rsidRDefault="009F2589" w:rsidP="00ED247F">
      <w:pPr>
        <w:spacing w:after="0" w:line="240" w:lineRule="auto"/>
        <w:jc w:val="both"/>
        <w:rPr>
          <w:rFonts w:ascii="Garamond" w:eastAsia="Times New Roman" w:hAnsi="Garamond" w:cs="Arial"/>
          <w:b/>
          <w:sz w:val="24"/>
          <w:szCs w:val="24"/>
          <w:lang w:eastAsia="es-CO"/>
        </w:rPr>
      </w:pPr>
    </w:p>
    <w:p w14:paraId="5AE4872E" w14:textId="77777777" w:rsidR="000D1985" w:rsidRPr="00FB65EF" w:rsidRDefault="00234EB6" w:rsidP="00DF170E">
      <w:pPr>
        <w:spacing w:after="0" w:line="240" w:lineRule="auto"/>
        <w:jc w:val="both"/>
        <w:rPr>
          <w:rFonts w:ascii="Garamond" w:eastAsia="Times New Roman" w:hAnsi="Garamond" w:cs="Arial"/>
          <w:b/>
          <w:sz w:val="24"/>
          <w:szCs w:val="24"/>
          <w:lang w:eastAsia="es-CO"/>
        </w:rPr>
      </w:pPr>
      <w:r w:rsidRPr="00FB65EF">
        <w:rPr>
          <w:rFonts w:ascii="Garamond" w:eastAsia="Times New Roman" w:hAnsi="Garamond" w:cs="Arial"/>
          <w:b/>
          <w:sz w:val="24"/>
          <w:szCs w:val="24"/>
          <w:lang w:eastAsia="es-CO"/>
        </w:rPr>
        <w:t xml:space="preserve">   </w:t>
      </w:r>
      <w:r w:rsidR="00494AAD" w:rsidRPr="00FB65EF">
        <w:rPr>
          <w:rFonts w:ascii="Garamond" w:eastAsia="Times New Roman" w:hAnsi="Garamond" w:cs="Arial"/>
          <w:b/>
          <w:sz w:val="24"/>
          <w:szCs w:val="24"/>
          <w:lang w:eastAsia="es-CO"/>
        </w:rPr>
        <w:tab/>
      </w:r>
    </w:p>
    <w:p w14:paraId="5BD887A4" w14:textId="1D53B7E2" w:rsidR="00DF170E" w:rsidRPr="00FB65EF" w:rsidRDefault="000D1985" w:rsidP="00DF170E">
      <w:pPr>
        <w:spacing w:after="0" w:line="240" w:lineRule="auto"/>
        <w:jc w:val="both"/>
        <w:rPr>
          <w:rFonts w:ascii="Garamond" w:eastAsia="Times New Roman" w:hAnsi="Garamond" w:cs="Arial"/>
          <w:b/>
          <w:sz w:val="24"/>
          <w:szCs w:val="24"/>
          <w:lang w:eastAsia="es-CO"/>
        </w:rPr>
      </w:pPr>
      <w:r w:rsidRPr="00FB65EF">
        <w:rPr>
          <w:rFonts w:ascii="Garamond" w:eastAsia="Times New Roman" w:hAnsi="Garamond" w:cs="Arial"/>
          <w:b/>
          <w:sz w:val="24"/>
          <w:szCs w:val="24"/>
          <w:lang w:eastAsia="es-CO"/>
        </w:rPr>
        <w:t xml:space="preserve">      </w:t>
      </w:r>
      <w:r w:rsidR="000530B0" w:rsidRPr="00FB65EF">
        <w:rPr>
          <w:rFonts w:ascii="Garamond" w:eastAsia="Times New Roman" w:hAnsi="Garamond" w:cs="Arial"/>
          <w:b/>
          <w:sz w:val="24"/>
          <w:szCs w:val="24"/>
          <w:lang w:eastAsia="es-CO"/>
        </w:rPr>
        <w:t xml:space="preserve">                   </w:t>
      </w:r>
      <w:r w:rsidR="00992371" w:rsidRPr="00FB65EF">
        <w:rPr>
          <w:rFonts w:ascii="Garamond" w:eastAsia="Times New Roman" w:hAnsi="Garamond" w:cs="Arial"/>
          <w:b/>
          <w:sz w:val="24"/>
          <w:szCs w:val="24"/>
          <w:lang w:eastAsia="es-CO"/>
        </w:rPr>
        <w:t xml:space="preserve"> </w:t>
      </w:r>
      <w:r w:rsidR="00881B76" w:rsidRPr="00FB65EF">
        <w:rPr>
          <w:rFonts w:ascii="Garamond" w:eastAsia="Times New Roman" w:hAnsi="Garamond" w:cs="Arial"/>
          <w:b/>
          <w:sz w:val="24"/>
          <w:szCs w:val="24"/>
          <w:lang w:eastAsia="es-CO"/>
        </w:rPr>
        <w:t xml:space="preserve">     </w:t>
      </w:r>
      <w:r w:rsidR="00DF170E" w:rsidRPr="00FB65EF">
        <w:rPr>
          <w:rFonts w:ascii="Garamond" w:eastAsia="Times New Roman" w:hAnsi="Garamond" w:cs="Arial"/>
          <w:b/>
          <w:sz w:val="24"/>
          <w:szCs w:val="24"/>
          <w:lang w:eastAsia="es-CO"/>
        </w:rPr>
        <w:t>AMPARO Y. CALDERON PERDOMO</w:t>
      </w:r>
    </w:p>
    <w:p w14:paraId="588C3E94" w14:textId="42F914F9" w:rsidR="00BF34E3" w:rsidRPr="00FB65EF" w:rsidRDefault="00234EB6" w:rsidP="00494AAD">
      <w:pPr>
        <w:tabs>
          <w:tab w:val="center" w:pos="4419"/>
        </w:tabs>
        <w:spacing w:after="0" w:line="240" w:lineRule="auto"/>
        <w:jc w:val="both"/>
        <w:rPr>
          <w:rFonts w:ascii="Garamond" w:eastAsia="Times New Roman" w:hAnsi="Garamond" w:cs="Arial"/>
          <w:sz w:val="24"/>
          <w:szCs w:val="24"/>
          <w:lang w:eastAsia="es-CO"/>
        </w:rPr>
      </w:pPr>
      <w:r w:rsidRPr="00FB65EF">
        <w:rPr>
          <w:rFonts w:ascii="Garamond" w:eastAsia="Times New Roman" w:hAnsi="Garamond" w:cs="Arial"/>
          <w:sz w:val="24"/>
          <w:szCs w:val="24"/>
          <w:lang w:eastAsia="es-CO"/>
        </w:rPr>
        <w:t xml:space="preserve">                             </w:t>
      </w:r>
      <w:r w:rsidR="001C3B3B" w:rsidRPr="00FB65EF">
        <w:rPr>
          <w:rFonts w:ascii="Garamond" w:eastAsia="Times New Roman" w:hAnsi="Garamond" w:cs="Arial"/>
          <w:sz w:val="24"/>
          <w:szCs w:val="24"/>
          <w:lang w:eastAsia="es-CO"/>
        </w:rPr>
        <w:t xml:space="preserve">  </w:t>
      </w:r>
      <w:r w:rsidR="00881B76" w:rsidRPr="00FB65EF">
        <w:rPr>
          <w:rFonts w:ascii="Garamond" w:eastAsia="Times New Roman" w:hAnsi="Garamond" w:cs="Arial"/>
          <w:sz w:val="24"/>
          <w:szCs w:val="24"/>
          <w:lang w:eastAsia="es-CO"/>
        </w:rPr>
        <w:t xml:space="preserve">         </w:t>
      </w:r>
      <w:r w:rsidR="001C3B3B" w:rsidRPr="00FB65EF">
        <w:rPr>
          <w:rFonts w:ascii="Garamond" w:eastAsia="Times New Roman" w:hAnsi="Garamond" w:cs="Arial"/>
          <w:sz w:val="24"/>
          <w:szCs w:val="24"/>
          <w:lang w:eastAsia="es-CO"/>
        </w:rPr>
        <w:t xml:space="preserve">        </w:t>
      </w:r>
      <w:r w:rsidR="00992371" w:rsidRPr="00FB65EF">
        <w:rPr>
          <w:rFonts w:ascii="Garamond" w:eastAsia="Times New Roman" w:hAnsi="Garamond" w:cs="Arial"/>
          <w:sz w:val="24"/>
          <w:szCs w:val="24"/>
          <w:lang w:eastAsia="es-CO"/>
        </w:rPr>
        <w:t xml:space="preserve">        </w:t>
      </w:r>
      <w:r w:rsidR="001C3B3B" w:rsidRPr="00FB65EF">
        <w:rPr>
          <w:rFonts w:ascii="Garamond" w:eastAsia="Times New Roman" w:hAnsi="Garamond" w:cs="Arial"/>
          <w:sz w:val="24"/>
          <w:szCs w:val="24"/>
          <w:lang w:eastAsia="es-CO"/>
        </w:rPr>
        <w:t xml:space="preserve"> </w:t>
      </w:r>
      <w:r w:rsidR="00DF170E" w:rsidRPr="00FB65EF">
        <w:rPr>
          <w:rFonts w:ascii="Garamond" w:eastAsia="Times New Roman" w:hAnsi="Garamond" w:cs="Arial"/>
          <w:sz w:val="24"/>
          <w:szCs w:val="24"/>
          <w:lang w:eastAsia="es-CO"/>
        </w:rPr>
        <w:t>Secretaria</w:t>
      </w:r>
    </w:p>
    <w:sectPr w:rsidR="00BF34E3" w:rsidRPr="00FB65EF" w:rsidSect="00992371">
      <w:footerReference w:type="default" r:id="rId11"/>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0258C" w14:textId="77777777" w:rsidR="00AE4263" w:rsidRDefault="00AE4263" w:rsidP="00F464B3">
      <w:pPr>
        <w:spacing w:after="0" w:line="240" w:lineRule="auto"/>
      </w:pPr>
      <w:r>
        <w:separator/>
      </w:r>
    </w:p>
  </w:endnote>
  <w:endnote w:type="continuationSeparator" w:id="0">
    <w:p w14:paraId="6EFE5964" w14:textId="77777777" w:rsidR="00AE4263" w:rsidRDefault="00AE4263"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5A54F6" w:rsidRPr="005A54F6">
          <w:rPr>
            <w:noProof/>
            <w:lang w:val="es-ES"/>
          </w:rPr>
          <w:t>3</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0346C" w14:textId="77777777" w:rsidR="00AE4263" w:rsidRDefault="00AE4263" w:rsidP="00F464B3">
      <w:pPr>
        <w:spacing w:after="0" w:line="240" w:lineRule="auto"/>
      </w:pPr>
      <w:r>
        <w:separator/>
      </w:r>
    </w:p>
  </w:footnote>
  <w:footnote w:type="continuationSeparator" w:id="0">
    <w:p w14:paraId="022137A0" w14:textId="77777777" w:rsidR="00AE4263" w:rsidRDefault="00AE4263"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6010008"/>
    <w:multiLevelType w:val="hybridMultilevel"/>
    <w:tmpl w:val="E6585822"/>
    <w:lvl w:ilvl="0" w:tplc="A0EE7A00">
      <w:start w:val="1"/>
      <w:numFmt w:val="decimal"/>
      <w:lvlText w:val="%1."/>
      <w:lvlJc w:val="left"/>
      <w:pPr>
        <w:ind w:left="1540" w:hanging="720"/>
        <w:jc w:val="left"/>
      </w:pPr>
      <w:rPr>
        <w:rFonts w:ascii="Constantia" w:eastAsia="Constantia" w:hAnsi="Constantia" w:cs="Constantia" w:hint="default"/>
        <w:i/>
        <w:iCs/>
        <w:w w:val="100"/>
        <w:sz w:val="24"/>
        <w:szCs w:val="24"/>
        <w:lang w:val="es-ES" w:eastAsia="en-US" w:bidi="ar-SA"/>
      </w:rPr>
    </w:lvl>
    <w:lvl w:ilvl="1" w:tplc="F1E8E63C">
      <w:numFmt w:val="bullet"/>
      <w:lvlText w:val="•"/>
      <w:lvlJc w:val="left"/>
      <w:pPr>
        <w:ind w:left="2310" w:hanging="720"/>
      </w:pPr>
      <w:rPr>
        <w:rFonts w:hint="default"/>
        <w:lang w:val="es-ES" w:eastAsia="en-US" w:bidi="ar-SA"/>
      </w:rPr>
    </w:lvl>
    <w:lvl w:ilvl="2" w:tplc="27820DB2">
      <w:numFmt w:val="bullet"/>
      <w:lvlText w:val="•"/>
      <w:lvlJc w:val="left"/>
      <w:pPr>
        <w:ind w:left="3080" w:hanging="720"/>
      </w:pPr>
      <w:rPr>
        <w:rFonts w:hint="default"/>
        <w:lang w:val="es-ES" w:eastAsia="en-US" w:bidi="ar-SA"/>
      </w:rPr>
    </w:lvl>
    <w:lvl w:ilvl="3" w:tplc="D20A3F38">
      <w:numFmt w:val="bullet"/>
      <w:lvlText w:val="•"/>
      <w:lvlJc w:val="left"/>
      <w:pPr>
        <w:ind w:left="3850" w:hanging="720"/>
      </w:pPr>
      <w:rPr>
        <w:rFonts w:hint="default"/>
        <w:lang w:val="es-ES" w:eastAsia="en-US" w:bidi="ar-SA"/>
      </w:rPr>
    </w:lvl>
    <w:lvl w:ilvl="4" w:tplc="96026A1A">
      <w:numFmt w:val="bullet"/>
      <w:lvlText w:val="•"/>
      <w:lvlJc w:val="left"/>
      <w:pPr>
        <w:ind w:left="4620" w:hanging="720"/>
      </w:pPr>
      <w:rPr>
        <w:rFonts w:hint="default"/>
        <w:lang w:val="es-ES" w:eastAsia="en-US" w:bidi="ar-SA"/>
      </w:rPr>
    </w:lvl>
    <w:lvl w:ilvl="5" w:tplc="F1306358">
      <w:numFmt w:val="bullet"/>
      <w:lvlText w:val="•"/>
      <w:lvlJc w:val="left"/>
      <w:pPr>
        <w:ind w:left="5390" w:hanging="720"/>
      </w:pPr>
      <w:rPr>
        <w:rFonts w:hint="default"/>
        <w:lang w:val="es-ES" w:eastAsia="en-US" w:bidi="ar-SA"/>
      </w:rPr>
    </w:lvl>
    <w:lvl w:ilvl="6" w:tplc="95CAD984">
      <w:numFmt w:val="bullet"/>
      <w:lvlText w:val="•"/>
      <w:lvlJc w:val="left"/>
      <w:pPr>
        <w:ind w:left="6160" w:hanging="720"/>
      </w:pPr>
      <w:rPr>
        <w:rFonts w:hint="default"/>
        <w:lang w:val="es-ES" w:eastAsia="en-US" w:bidi="ar-SA"/>
      </w:rPr>
    </w:lvl>
    <w:lvl w:ilvl="7" w:tplc="3404CCF6">
      <w:numFmt w:val="bullet"/>
      <w:lvlText w:val="•"/>
      <w:lvlJc w:val="left"/>
      <w:pPr>
        <w:ind w:left="6930" w:hanging="720"/>
      </w:pPr>
      <w:rPr>
        <w:rFonts w:hint="default"/>
        <w:lang w:val="es-ES" w:eastAsia="en-US" w:bidi="ar-SA"/>
      </w:rPr>
    </w:lvl>
    <w:lvl w:ilvl="8" w:tplc="8C946C7A">
      <w:numFmt w:val="bullet"/>
      <w:lvlText w:val="•"/>
      <w:lvlJc w:val="left"/>
      <w:pPr>
        <w:ind w:left="7700" w:hanging="720"/>
      </w:pPr>
      <w:rPr>
        <w:rFonts w:hint="default"/>
        <w:lang w:val="es-ES" w:eastAsia="en-US" w:bidi="ar-SA"/>
      </w:r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4">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B643323"/>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5">
    <w:nsid w:val="48912AF3"/>
    <w:multiLevelType w:val="hybridMultilevel"/>
    <w:tmpl w:val="3B2449F2"/>
    <w:lvl w:ilvl="0" w:tplc="B44AE7F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8">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2">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8"/>
  </w:num>
  <w:num w:numId="2">
    <w:abstractNumId w:val="34"/>
  </w:num>
  <w:num w:numId="3">
    <w:abstractNumId w:val="37"/>
  </w:num>
  <w:num w:numId="4">
    <w:abstractNumId w:val="22"/>
  </w:num>
  <w:num w:numId="5">
    <w:abstractNumId w:val="31"/>
  </w:num>
  <w:num w:numId="6">
    <w:abstractNumId w:val="42"/>
  </w:num>
  <w:num w:numId="7">
    <w:abstractNumId w:val="57"/>
  </w:num>
  <w:num w:numId="8">
    <w:abstractNumId w:val="6"/>
  </w:num>
  <w:num w:numId="9">
    <w:abstractNumId w:val="9"/>
  </w:num>
  <w:num w:numId="10">
    <w:abstractNumId w:val="39"/>
  </w:num>
  <w:num w:numId="11">
    <w:abstractNumId w:val="44"/>
  </w:num>
  <w:num w:numId="12">
    <w:abstractNumId w:val="46"/>
  </w:num>
  <w:num w:numId="13">
    <w:abstractNumId w:val="43"/>
  </w:num>
  <w:num w:numId="14">
    <w:abstractNumId w:val="52"/>
  </w:num>
  <w:num w:numId="15">
    <w:abstractNumId w:val="40"/>
  </w:num>
  <w:num w:numId="16">
    <w:abstractNumId w:val="12"/>
  </w:num>
  <w:num w:numId="17">
    <w:abstractNumId w:val="8"/>
  </w:num>
  <w:num w:numId="18">
    <w:abstractNumId w:val="16"/>
  </w:num>
  <w:num w:numId="19">
    <w:abstractNumId w:val="17"/>
  </w:num>
  <w:num w:numId="20">
    <w:abstractNumId w:val="53"/>
  </w:num>
  <w:num w:numId="21">
    <w:abstractNumId w:val="27"/>
  </w:num>
  <w:num w:numId="22">
    <w:abstractNumId w:val="58"/>
  </w:num>
  <w:num w:numId="23">
    <w:abstractNumId w:val="21"/>
  </w:num>
  <w:num w:numId="24">
    <w:abstractNumId w:val="5"/>
  </w:num>
  <w:num w:numId="25">
    <w:abstractNumId w:val="3"/>
  </w:num>
  <w:num w:numId="26">
    <w:abstractNumId w:val="20"/>
  </w:num>
  <w:num w:numId="27">
    <w:abstractNumId w:val="49"/>
  </w:num>
  <w:num w:numId="28">
    <w:abstractNumId w:val="18"/>
  </w:num>
  <w:num w:numId="29">
    <w:abstractNumId w:val="60"/>
  </w:num>
  <w:num w:numId="30">
    <w:abstractNumId w:val="59"/>
  </w:num>
  <w:num w:numId="31">
    <w:abstractNumId w:val="28"/>
  </w:num>
  <w:num w:numId="32">
    <w:abstractNumId w:val="48"/>
  </w:num>
  <w:num w:numId="33">
    <w:abstractNumId w:val="13"/>
  </w:num>
  <w:num w:numId="34">
    <w:abstractNumId w:val="14"/>
  </w:num>
  <w:num w:numId="35">
    <w:abstractNumId w:val="50"/>
  </w:num>
  <w:num w:numId="36">
    <w:abstractNumId w:val="51"/>
  </w:num>
  <w:num w:numId="37">
    <w:abstractNumId w:val="61"/>
  </w:num>
  <w:num w:numId="38">
    <w:abstractNumId w:val="15"/>
  </w:num>
  <w:num w:numId="39">
    <w:abstractNumId w:val="24"/>
  </w:num>
  <w:num w:numId="40">
    <w:abstractNumId w:val="26"/>
  </w:num>
  <w:num w:numId="41">
    <w:abstractNumId w:val="32"/>
  </w:num>
  <w:num w:numId="42">
    <w:abstractNumId w:val="45"/>
  </w:num>
  <w:num w:numId="43">
    <w:abstractNumId w:val="36"/>
  </w:num>
  <w:num w:numId="44">
    <w:abstractNumId w:val="19"/>
  </w:num>
  <w:num w:numId="45">
    <w:abstractNumId w:val="25"/>
  </w:num>
  <w:num w:numId="46">
    <w:abstractNumId w:val="55"/>
  </w:num>
  <w:num w:numId="47">
    <w:abstractNumId w:val="11"/>
  </w:num>
  <w:num w:numId="48">
    <w:abstractNumId w:val="0"/>
  </w:num>
  <w:num w:numId="49">
    <w:abstractNumId w:val="4"/>
  </w:num>
  <w:num w:numId="50">
    <w:abstractNumId w:val="1"/>
  </w:num>
  <w:num w:numId="51">
    <w:abstractNumId w:val="10"/>
  </w:num>
  <w:num w:numId="52">
    <w:abstractNumId w:val="41"/>
  </w:num>
  <w:num w:numId="53">
    <w:abstractNumId w:val="7"/>
  </w:num>
  <w:num w:numId="54">
    <w:abstractNumId w:val="29"/>
  </w:num>
  <w:num w:numId="55">
    <w:abstractNumId w:val="47"/>
  </w:num>
  <w:num w:numId="56">
    <w:abstractNumId w:val="54"/>
  </w:num>
  <w:num w:numId="57">
    <w:abstractNumId w:val="33"/>
  </w:num>
  <w:num w:numId="58">
    <w:abstractNumId w:val="56"/>
  </w:num>
  <w:num w:numId="59">
    <w:abstractNumId w:val="23"/>
  </w:num>
  <w:num w:numId="60">
    <w:abstractNumId w:val="2"/>
  </w:num>
  <w:num w:numId="61">
    <w:abstractNumId w:val="30"/>
  </w:num>
  <w:num w:numId="62">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D63"/>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BE5"/>
    <w:rsid w:val="00124F86"/>
    <w:rsid w:val="0012607A"/>
    <w:rsid w:val="00132CC4"/>
    <w:rsid w:val="0013701A"/>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15A9"/>
    <w:rsid w:val="002239AB"/>
    <w:rsid w:val="00232EEB"/>
    <w:rsid w:val="00234EB6"/>
    <w:rsid w:val="00237BCB"/>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8086F"/>
    <w:rsid w:val="0028188C"/>
    <w:rsid w:val="00281E60"/>
    <w:rsid w:val="00283BF7"/>
    <w:rsid w:val="00292419"/>
    <w:rsid w:val="00294C57"/>
    <w:rsid w:val="002960E0"/>
    <w:rsid w:val="00296DD2"/>
    <w:rsid w:val="002A05CF"/>
    <w:rsid w:val="002A630F"/>
    <w:rsid w:val="002B0A6E"/>
    <w:rsid w:val="002B3FA6"/>
    <w:rsid w:val="002B5127"/>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30D8"/>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6C4F"/>
    <w:rsid w:val="003D3429"/>
    <w:rsid w:val="003D37C7"/>
    <w:rsid w:val="003F22E4"/>
    <w:rsid w:val="003F7482"/>
    <w:rsid w:val="004029C1"/>
    <w:rsid w:val="00403989"/>
    <w:rsid w:val="004201D0"/>
    <w:rsid w:val="004250DB"/>
    <w:rsid w:val="004325B6"/>
    <w:rsid w:val="004349DA"/>
    <w:rsid w:val="00435772"/>
    <w:rsid w:val="00437BC2"/>
    <w:rsid w:val="00443AB1"/>
    <w:rsid w:val="004502E0"/>
    <w:rsid w:val="004520A7"/>
    <w:rsid w:val="0045788D"/>
    <w:rsid w:val="00460BB0"/>
    <w:rsid w:val="0046125C"/>
    <w:rsid w:val="004621DF"/>
    <w:rsid w:val="004721F2"/>
    <w:rsid w:val="00472F92"/>
    <w:rsid w:val="004747EE"/>
    <w:rsid w:val="004750CB"/>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28D2"/>
    <w:rsid w:val="004D48F0"/>
    <w:rsid w:val="004D55BD"/>
    <w:rsid w:val="004E422C"/>
    <w:rsid w:val="004F05FE"/>
    <w:rsid w:val="004F2831"/>
    <w:rsid w:val="004F4257"/>
    <w:rsid w:val="004F49B6"/>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4373"/>
    <w:rsid w:val="00574941"/>
    <w:rsid w:val="00576838"/>
    <w:rsid w:val="00580838"/>
    <w:rsid w:val="00582813"/>
    <w:rsid w:val="0058657B"/>
    <w:rsid w:val="005916CC"/>
    <w:rsid w:val="00596397"/>
    <w:rsid w:val="005A3D78"/>
    <w:rsid w:val="005A54F6"/>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343BF"/>
    <w:rsid w:val="00637688"/>
    <w:rsid w:val="006417DE"/>
    <w:rsid w:val="00642EF5"/>
    <w:rsid w:val="006438E1"/>
    <w:rsid w:val="00647512"/>
    <w:rsid w:val="00647A02"/>
    <w:rsid w:val="006518E7"/>
    <w:rsid w:val="00654984"/>
    <w:rsid w:val="00657AE7"/>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054D"/>
    <w:rsid w:val="006F1E48"/>
    <w:rsid w:val="006F287E"/>
    <w:rsid w:val="006F2E70"/>
    <w:rsid w:val="006F2F0E"/>
    <w:rsid w:val="006F309E"/>
    <w:rsid w:val="006F6235"/>
    <w:rsid w:val="00704C38"/>
    <w:rsid w:val="0071209F"/>
    <w:rsid w:val="007212C5"/>
    <w:rsid w:val="00723C8B"/>
    <w:rsid w:val="00730794"/>
    <w:rsid w:val="00732537"/>
    <w:rsid w:val="00736FFD"/>
    <w:rsid w:val="00742023"/>
    <w:rsid w:val="00747ABC"/>
    <w:rsid w:val="0075240B"/>
    <w:rsid w:val="007538D4"/>
    <w:rsid w:val="00756A1B"/>
    <w:rsid w:val="00756F01"/>
    <w:rsid w:val="007626FA"/>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21A4"/>
    <w:rsid w:val="007D2B2D"/>
    <w:rsid w:val="007D3408"/>
    <w:rsid w:val="007E0D9F"/>
    <w:rsid w:val="007E2712"/>
    <w:rsid w:val="007E32FD"/>
    <w:rsid w:val="007E392A"/>
    <w:rsid w:val="007F0C6E"/>
    <w:rsid w:val="007F1D24"/>
    <w:rsid w:val="007F283B"/>
    <w:rsid w:val="007F6D4F"/>
    <w:rsid w:val="00807DB9"/>
    <w:rsid w:val="00810675"/>
    <w:rsid w:val="00812FA2"/>
    <w:rsid w:val="00813DE7"/>
    <w:rsid w:val="00815277"/>
    <w:rsid w:val="00822CAA"/>
    <w:rsid w:val="00823EC1"/>
    <w:rsid w:val="00830248"/>
    <w:rsid w:val="00830D20"/>
    <w:rsid w:val="00831772"/>
    <w:rsid w:val="00834B6E"/>
    <w:rsid w:val="008356B7"/>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1B76"/>
    <w:rsid w:val="008857A6"/>
    <w:rsid w:val="0088646C"/>
    <w:rsid w:val="00896F08"/>
    <w:rsid w:val="008A58CD"/>
    <w:rsid w:val="008B3C4C"/>
    <w:rsid w:val="008B4C69"/>
    <w:rsid w:val="008C3F1F"/>
    <w:rsid w:val="008C5DB8"/>
    <w:rsid w:val="008C6A67"/>
    <w:rsid w:val="008D2ED6"/>
    <w:rsid w:val="008D3094"/>
    <w:rsid w:val="008D5E3D"/>
    <w:rsid w:val="008D6682"/>
    <w:rsid w:val="008E061B"/>
    <w:rsid w:val="008E1115"/>
    <w:rsid w:val="008F02EB"/>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71BA8"/>
    <w:rsid w:val="00971E04"/>
    <w:rsid w:val="00973EBB"/>
    <w:rsid w:val="00974898"/>
    <w:rsid w:val="00975A60"/>
    <w:rsid w:val="009824EF"/>
    <w:rsid w:val="00984F42"/>
    <w:rsid w:val="00992371"/>
    <w:rsid w:val="00993246"/>
    <w:rsid w:val="009932F1"/>
    <w:rsid w:val="00993BB4"/>
    <w:rsid w:val="009959F1"/>
    <w:rsid w:val="0099760B"/>
    <w:rsid w:val="009A07C8"/>
    <w:rsid w:val="009A5162"/>
    <w:rsid w:val="009B645A"/>
    <w:rsid w:val="009D381B"/>
    <w:rsid w:val="009D5F41"/>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93F02"/>
    <w:rsid w:val="00A97FCA"/>
    <w:rsid w:val="00AA107A"/>
    <w:rsid w:val="00AA3DC5"/>
    <w:rsid w:val="00AB0713"/>
    <w:rsid w:val="00AB5D2C"/>
    <w:rsid w:val="00AC2BEA"/>
    <w:rsid w:val="00AC2CFC"/>
    <w:rsid w:val="00AC4826"/>
    <w:rsid w:val="00AC585F"/>
    <w:rsid w:val="00AC6549"/>
    <w:rsid w:val="00AD02C7"/>
    <w:rsid w:val="00AD6144"/>
    <w:rsid w:val="00AD662E"/>
    <w:rsid w:val="00AE120F"/>
    <w:rsid w:val="00AE1255"/>
    <w:rsid w:val="00AE1660"/>
    <w:rsid w:val="00AE26AF"/>
    <w:rsid w:val="00AE3BCF"/>
    <w:rsid w:val="00AE4263"/>
    <w:rsid w:val="00AF05ED"/>
    <w:rsid w:val="00AF1C4C"/>
    <w:rsid w:val="00AF5978"/>
    <w:rsid w:val="00AF61D6"/>
    <w:rsid w:val="00B03CC7"/>
    <w:rsid w:val="00B053FD"/>
    <w:rsid w:val="00B06E58"/>
    <w:rsid w:val="00B12865"/>
    <w:rsid w:val="00B17C11"/>
    <w:rsid w:val="00B2028B"/>
    <w:rsid w:val="00B22C58"/>
    <w:rsid w:val="00B303DE"/>
    <w:rsid w:val="00B30A0D"/>
    <w:rsid w:val="00B32722"/>
    <w:rsid w:val="00B32FE3"/>
    <w:rsid w:val="00B331EB"/>
    <w:rsid w:val="00B34B5B"/>
    <w:rsid w:val="00B3777F"/>
    <w:rsid w:val="00B40728"/>
    <w:rsid w:val="00B41FCE"/>
    <w:rsid w:val="00B4471F"/>
    <w:rsid w:val="00B54B57"/>
    <w:rsid w:val="00B569DB"/>
    <w:rsid w:val="00B63D2A"/>
    <w:rsid w:val="00B64D54"/>
    <w:rsid w:val="00B67E3C"/>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50619"/>
    <w:rsid w:val="00C6351D"/>
    <w:rsid w:val="00C64899"/>
    <w:rsid w:val="00C66652"/>
    <w:rsid w:val="00C66E6F"/>
    <w:rsid w:val="00C7069C"/>
    <w:rsid w:val="00C711D9"/>
    <w:rsid w:val="00C73338"/>
    <w:rsid w:val="00C73EE9"/>
    <w:rsid w:val="00C75C7B"/>
    <w:rsid w:val="00C760B8"/>
    <w:rsid w:val="00C8272B"/>
    <w:rsid w:val="00C84277"/>
    <w:rsid w:val="00C84633"/>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686B"/>
    <w:rsid w:val="00D54F91"/>
    <w:rsid w:val="00D56956"/>
    <w:rsid w:val="00D612E9"/>
    <w:rsid w:val="00D63FF4"/>
    <w:rsid w:val="00D74174"/>
    <w:rsid w:val="00D741FA"/>
    <w:rsid w:val="00D756CE"/>
    <w:rsid w:val="00D77629"/>
    <w:rsid w:val="00D80A76"/>
    <w:rsid w:val="00D810CB"/>
    <w:rsid w:val="00D81BB3"/>
    <w:rsid w:val="00D8350D"/>
    <w:rsid w:val="00D85EB3"/>
    <w:rsid w:val="00D92616"/>
    <w:rsid w:val="00D93774"/>
    <w:rsid w:val="00DA2698"/>
    <w:rsid w:val="00DA3876"/>
    <w:rsid w:val="00DA4785"/>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E03E9B"/>
    <w:rsid w:val="00E05FB7"/>
    <w:rsid w:val="00E079E5"/>
    <w:rsid w:val="00E12387"/>
    <w:rsid w:val="00E15245"/>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74ED"/>
    <w:rsid w:val="00EE78B1"/>
    <w:rsid w:val="00EF0082"/>
    <w:rsid w:val="00EF39A3"/>
    <w:rsid w:val="00EF6CBD"/>
    <w:rsid w:val="00EF7F49"/>
    <w:rsid w:val="00F077D0"/>
    <w:rsid w:val="00F169BF"/>
    <w:rsid w:val="00F256CE"/>
    <w:rsid w:val="00F26F93"/>
    <w:rsid w:val="00F3324F"/>
    <w:rsid w:val="00F3751E"/>
    <w:rsid w:val="00F41D78"/>
    <w:rsid w:val="00F44E71"/>
    <w:rsid w:val="00F45AD6"/>
    <w:rsid w:val="00F464B3"/>
    <w:rsid w:val="00F52F14"/>
    <w:rsid w:val="00F6249F"/>
    <w:rsid w:val="00F641B8"/>
    <w:rsid w:val="00F650A3"/>
    <w:rsid w:val="00F73C04"/>
    <w:rsid w:val="00F74A1B"/>
    <w:rsid w:val="00F74F1E"/>
    <w:rsid w:val="00F762D8"/>
    <w:rsid w:val="00F77611"/>
    <w:rsid w:val="00F90EA1"/>
    <w:rsid w:val="00F93CD2"/>
    <w:rsid w:val="00F93E28"/>
    <w:rsid w:val="00FA64B3"/>
    <w:rsid w:val="00FB1A5C"/>
    <w:rsid w:val="00FB65AE"/>
    <w:rsid w:val="00FB65EF"/>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ecretariasenado.gov.co/senado/basedoc/ley_1448_2011_pr003.html" TargetMode="Externa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D0D80-A1D3-4608-A568-00946373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1307</Words>
  <Characters>7192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9</cp:revision>
  <cp:lastPrinted>2022-11-29T21:59:00Z</cp:lastPrinted>
  <dcterms:created xsi:type="dcterms:W3CDTF">2022-11-29T22:02:00Z</dcterms:created>
  <dcterms:modified xsi:type="dcterms:W3CDTF">2022-12-01T22:56:00Z</dcterms:modified>
</cp:coreProperties>
</file>